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9D4C" w14:textId="77777777" w:rsidR="001565DE" w:rsidRDefault="001565DE">
      <w:pPr>
        <w:rPr>
          <w:rFonts w:ascii="Calibri" w:hAnsi="Calibri" w:cs="Calibri"/>
          <w:sz w:val="22"/>
          <w:szCs w:val="22"/>
        </w:rPr>
      </w:pPr>
    </w:p>
    <w:p w14:paraId="5B11513C" w14:textId="77777777" w:rsidR="001565DE" w:rsidRDefault="001565DE">
      <w:pPr>
        <w:rPr>
          <w:rFonts w:ascii="Calibri" w:hAnsi="Calibri" w:cs="Calibri"/>
          <w:sz w:val="22"/>
          <w:szCs w:val="22"/>
        </w:rPr>
      </w:pPr>
    </w:p>
    <w:p w14:paraId="6BBF6C37" w14:textId="2ADA9D9C" w:rsidR="001565DE" w:rsidRDefault="001565DE">
      <w:pPr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-1939210765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4"/>
          <w:szCs w:val="24"/>
        </w:rPr>
      </w:sdtEndPr>
      <w:sdtContent>
        <w:p w14:paraId="34B2CB75" w14:textId="42665B0A" w:rsidR="00827B49" w:rsidRDefault="00827B49">
          <w:pPr>
            <w:rPr>
              <w:rFonts w:ascii="Calibri" w:hAnsi="Calibri" w:cs="Calibri"/>
              <w:sz w:val="22"/>
              <w:szCs w:val="22"/>
            </w:rPr>
          </w:pPr>
        </w:p>
        <w:p w14:paraId="0590B47B" w14:textId="77777777" w:rsidR="001565DE" w:rsidRDefault="001565DE">
          <w:pPr>
            <w:rPr>
              <w:rFonts w:ascii="Calibri" w:hAnsi="Calibri" w:cs="Calibri"/>
              <w:sz w:val="22"/>
              <w:szCs w:val="22"/>
            </w:rPr>
          </w:pPr>
        </w:p>
        <w:p w14:paraId="791AC693" w14:textId="77777777" w:rsidR="001565DE" w:rsidRDefault="001565DE" w:rsidP="001565DE">
          <w:pPr>
            <w:pStyle w:val="Default"/>
          </w:pPr>
        </w:p>
        <w:p w14:paraId="1340F4EF" w14:textId="77777777" w:rsidR="001565DE" w:rsidRDefault="001565DE" w:rsidP="001565DE">
          <w:pPr>
            <w:pStyle w:val="Default"/>
          </w:pPr>
          <w:r>
            <w:t xml:space="preserve"> </w:t>
          </w:r>
        </w:p>
        <w:p w14:paraId="3E012E4B" w14:textId="77777777" w:rsidR="001565DE" w:rsidRDefault="001565DE" w:rsidP="001565DE">
          <w:pPr>
            <w:pStyle w:val="Default"/>
          </w:pPr>
        </w:p>
        <w:p w14:paraId="4E59D94C" w14:textId="77777777" w:rsidR="001565DE" w:rsidRDefault="001565DE" w:rsidP="001565DE">
          <w:pPr>
            <w:pStyle w:val="Default"/>
          </w:pPr>
        </w:p>
        <w:p w14:paraId="67F22195" w14:textId="77777777" w:rsidR="001565DE" w:rsidRDefault="001565DE" w:rsidP="001565DE">
          <w:pPr>
            <w:pStyle w:val="Default"/>
          </w:pPr>
        </w:p>
        <w:p w14:paraId="4EFF3D53" w14:textId="77777777" w:rsidR="001565DE" w:rsidRDefault="001565DE" w:rsidP="001565DE">
          <w:pPr>
            <w:pStyle w:val="Default"/>
          </w:pPr>
        </w:p>
        <w:p w14:paraId="30E07E15" w14:textId="77777777" w:rsidR="001565DE" w:rsidRDefault="001565DE" w:rsidP="001565DE">
          <w:pPr>
            <w:pStyle w:val="Default"/>
          </w:pPr>
        </w:p>
        <w:p w14:paraId="2F51B8CE" w14:textId="77777777" w:rsidR="001565DE" w:rsidRDefault="001565DE" w:rsidP="001565DE">
          <w:pPr>
            <w:pStyle w:val="Default"/>
          </w:pPr>
        </w:p>
        <w:p w14:paraId="6D2B941F" w14:textId="77777777" w:rsidR="001565DE" w:rsidRDefault="001565DE" w:rsidP="001565DE">
          <w:pPr>
            <w:pStyle w:val="Default"/>
          </w:pPr>
        </w:p>
        <w:p w14:paraId="16AA2525" w14:textId="3BDE4892" w:rsidR="001565DE" w:rsidRDefault="001565DE" w:rsidP="001565DE">
          <w:pPr>
            <w:rPr>
              <w:b/>
              <w:bCs/>
              <w:color w:val="242424"/>
              <w:sz w:val="54"/>
              <w:szCs w:val="54"/>
            </w:rPr>
          </w:pPr>
          <w:r>
            <w:rPr>
              <w:b/>
              <w:bCs/>
              <w:color w:val="242424"/>
              <w:sz w:val="54"/>
              <w:szCs w:val="54"/>
            </w:rPr>
            <w:t>Strategia Partnerstwa MOF Ciechanowa - pomysły na działania</w:t>
          </w:r>
        </w:p>
        <w:p w14:paraId="735BA04E" w14:textId="77777777" w:rsidR="001565DE" w:rsidRDefault="001565DE" w:rsidP="001565DE">
          <w:pPr>
            <w:rPr>
              <w:b/>
              <w:bCs/>
              <w:color w:val="242424"/>
              <w:sz w:val="54"/>
              <w:szCs w:val="54"/>
            </w:rPr>
          </w:pPr>
        </w:p>
        <w:p w14:paraId="21A4E513" w14:textId="77777777" w:rsidR="001565DE" w:rsidRDefault="001565DE" w:rsidP="001565DE">
          <w:pPr>
            <w:rPr>
              <w:b/>
              <w:bCs/>
              <w:color w:val="242424"/>
              <w:sz w:val="54"/>
              <w:szCs w:val="54"/>
            </w:rPr>
          </w:pPr>
        </w:p>
        <w:p w14:paraId="4281F35B" w14:textId="77777777" w:rsidR="001565DE" w:rsidRDefault="001565DE" w:rsidP="001565DE">
          <w:pPr>
            <w:rPr>
              <w:b/>
              <w:bCs/>
              <w:color w:val="242424"/>
              <w:sz w:val="54"/>
              <w:szCs w:val="54"/>
            </w:rPr>
          </w:pPr>
        </w:p>
        <w:p w14:paraId="5903D073" w14:textId="77777777" w:rsidR="001565DE" w:rsidRDefault="001565DE" w:rsidP="001565DE">
          <w:pPr>
            <w:rPr>
              <w:b/>
              <w:bCs/>
              <w:color w:val="242424"/>
              <w:sz w:val="54"/>
              <w:szCs w:val="54"/>
            </w:rPr>
          </w:pPr>
        </w:p>
        <w:p w14:paraId="5011F7D4" w14:textId="77777777" w:rsidR="001565DE" w:rsidRDefault="001565DE" w:rsidP="001565DE">
          <w:pPr>
            <w:rPr>
              <w:b/>
              <w:bCs/>
              <w:color w:val="242424"/>
              <w:sz w:val="54"/>
              <w:szCs w:val="54"/>
            </w:rPr>
          </w:pPr>
        </w:p>
        <w:p w14:paraId="31E5F6F0" w14:textId="17859BE1" w:rsidR="001565DE" w:rsidRDefault="001565DE" w:rsidP="001565DE">
          <w:pPr>
            <w:jc w:val="right"/>
            <w:rPr>
              <w:b/>
              <w:bCs/>
              <w:color w:val="242424"/>
              <w:sz w:val="48"/>
              <w:szCs w:val="48"/>
            </w:rPr>
          </w:pPr>
          <w:r w:rsidRPr="001565DE">
            <w:rPr>
              <w:b/>
              <w:bCs/>
              <w:color w:val="242424"/>
              <w:sz w:val="48"/>
              <w:szCs w:val="48"/>
            </w:rPr>
            <w:t>Raport z konsultacji</w:t>
          </w:r>
        </w:p>
        <w:p w14:paraId="41CB69AA" w14:textId="77777777" w:rsidR="001C045C" w:rsidRDefault="001C045C" w:rsidP="001565DE">
          <w:pPr>
            <w:jc w:val="right"/>
            <w:rPr>
              <w:b/>
              <w:bCs/>
              <w:color w:val="242424"/>
              <w:sz w:val="28"/>
              <w:szCs w:val="28"/>
            </w:rPr>
          </w:pPr>
        </w:p>
        <w:p w14:paraId="7615E9A9" w14:textId="14BA152F" w:rsidR="001C045C" w:rsidRPr="001C045C" w:rsidRDefault="001C045C" w:rsidP="001565DE">
          <w:pPr>
            <w:jc w:val="right"/>
            <w:rPr>
              <w:b/>
              <w:bCs/>
              <w:color w:val="242424"/>
              <w:sz w:val="28"/>
              <w:szCs w:val="28"/>
            </w:rPr>
          </w:pPr>
          <w:r w:rsidRPr="001C045C">
            <w:rPr>
              <w:b/>
              <w:bCs/>
              <w:color w:val="242424"/>
              <w:sz w:val="28"/>
              <w:szCs w:val="28"/>
            </w:rPr>
            <w:t>Marzec 2023</w:t>
          </w:r>
        </w:p>
        <w:p w14:paraId="416551B8" w14:textId="0D5A6A29" w:rsidR="00801BC5" w:rsidRDefault="00801BC5" w:rsidP="001565DE">
          <w:pPr>
            <w:jc w:val="right"/>
            <w:rPr>
              <w:b/>
              <w:bCs/>
              <w:color w:val="242424"/>
              <w:sz w:val="48"/>
              <w:szCs w:val="48"/>
            </w:rPr>
          </w:pPr>
          <w:r>
            <w:rPr>
              <w:b/>
              <w:bCs/>
              <w:color w:val="242424"/>
              <w:sz w:val="48"/>
              <w:szCs w:val="48"/>
            </w:rPr>
            <w:br w:type="page"/>
          </w:r>
        </w:p>
        <w:p w14:paraId="5D45566B" w14:textId="7CBD219F" w:rsidR="00801BC5" w:rsidRPr="002D5CB0" w:rsidRDefault="00801BC5" w:rsidP="002D5CB0">
          <w:pPr>
            <w:pStyle w:val="Akapitzlist"/>
            <w:numPr>
              <w:ilvl w:val="0"/>
              <w:numId w:val="1"/>
            </w:numPr>
            <w:spacing w:after="240"/>
            <w:ind w:left="714" w:hanging="357"/>
            <w:rPr>
              <w:rFonts w:ascii="Calibri" w:eastAsiaTheme="majorEastAsia" w:hAnsi="Calibri" w:cstheme="majorBidi"/>
              <w:b/>
              <w:sz w:val="30"/>
              <w:szCs w:val="26"/>
            </w:rPr>
          </w:pPr>
          <w:r w:rsidRPr="009B4501">
            <w:rPr>
              <w:rFonts w:ascii="Calibri" w:eastAsiaTheme="majorEastAsia" w:hAnsi="Calibri" w:cstheme="majorBidi"/>
              <w:b/>
              <w:sz w:val="30"/>
              <w:szCs w:val="26"/>
            </w:rPr>
            <w:lastRenderedPageBreak/>
            <w:t>Założenia, forma i przebieg konsultacji</w:t>
          </w:r>
        </w:p>
        <w:p w14:paraId="25670E36" w14:textId="17B4F0D6" w:rsidR="001C045C" w:rsidRDefault="00E53DD5" w:rsidP="001C045C">
          <w:pPr>
            <w:spacing w:before="120" w:after="240" w:line="276" w:lineRule="auto"/>
            <w:ind w:left="851"/>
            <w:rPr>
              <w:szCs w:val="22"/>
            </w:rPr>
          </w:pPr>
          <w:r>
            <w:rPr>
              <w:szCs w:val="22"/>
            </w:rPr>
            <w:t xml:space="preserve">Konsultacje </w:t>
          </w:r>
          <w:r w:rsidR="001C045C">
            <w:rPr>
              <w:szCs w:val="22"/>
            </w:rPr>
            <w:t>„</w:t>
          </w:r>
          <w:r w:rsidR="001C045C" w:rsidRPr="001C045C">
            <w:t>Strategia Partnerstwa MOF Ciechanowa - pomysły na działania</w:t>
          </w:r>
          <w:r w:rsidR="001C045C">
            <w:t>”</w:t>
          </w:r>
          <w:r w:rsidR="001C045C">
            <w:rPr>
              <w:szCs w:val="22"/>
            </w:rPr>
            <w:t xml:space="preserve"> </w:t>
          </w:r>
          <w:r>
            <w:rPr>
              <w:szCs w:val="22"/>
            </w:rPr>
            <w:t xml:space="preserve">stanowiły element procesu tworzenia strategii rozwoju ponadlokalnego Partnerstwa Miejskiego Obszaru Funkcjonalnego Ciechanowa. </w:t>
          </w:r>
          <w:r w:rsidRPr="00E53DD5">
            <w:rPr>
              <w:szCs w:val="22"/>
            </w:rPr>
            <w:t>Partnerstwo obejmuje obszar czterech gmin: miasto Ciechanów, gmina Ciechanów, gmina Opinogóra Górna i gmina Sońsk.</w:t>
          </w:r>
          <w:r w:rsidR="001C045C">
            <w:rPr>
              <w:szCs w:val="22"/>
            </w:rPr>
            <w:t xml:space="preserve"> Strategia jest przygotowywana w ramach projektu</w:t>
          </w:r>
          <w:r w:rsidR="001C045C">
            <w:t xml:space="preserve"> „Centrum Wsparcia Doradczego Plus”, zainicjowanego przez Ministerstwo Funduszy i Polityki Regionalnej</w:t>
          </w:r>
          <w:r w:rsidR="001C045C">
            <w:t>, a wdrażanego</w:t>
          </w:r>
          <w:r w:rsidR="001C045C">
            <w:t xml:space="preserve"> przez Fundację Fundusz Współpracy oraz Związek Miast Polskich.</w:t>
          </w:r>
        </w:p>
        <w:p w14:paraId="79BA3653" w14:textId="454DC52F" w:rsidR="00E53DD5" w:rsidRDefault="00E53DD5" w:rsidP="00E53DD5">
          <w:pPr>
            <w:spacing w:before="120" w:after="240" w:line="276" w:lineRule="auto"/>
            <w:ind w:left="851"/>
            <w:rPr>
              <w:szCs w:val="22"/>
            </w:rPr>
          </w:pPr>
          <w:r>
            <w:rPr>
              <w:szCs w:val="22"/>
            </w:rPr>
            <w:t>Konsultacje miały dwa cele. Pierwszym była komunikacja celów wypracowanych w trakcie uspołecznionych warsztatów strategicznych oraz zaakceptowanych przez decydentów Gmin MOF Ciechanowa tworzących Radę Partnerstwa. Są to:</w:t>
          </w:r>
        </w:p>
        <w:p w14:paraId="699972D7" w14:textId="532F5A43" w:rsidR="00E53DD5" w:rsidRPr="00E53DD5" w:rsidRDefault="00E53DD5" w:rsidP="00E53DD5">
          <w:pPr>
            <w:pStyle w:val="Akapitzlist"/>
            <w:numPr>
              <w:ilvl w:val="0"/>
              <w:numId w:val="4"/>
            </w:numPr>
            <w:spacing w:before="120" w:after="240" w:line="276" w:lineRule="auto"/>
            <w:rPr>
              <w:szCs w:val="22"/>
            </w:rPr>
          </w:pPr>
          <w:r w:rsidRPr="00E53DD5">
            <w:rPr>
              <w:szCs w:val="22"/>
            </w:rPr>
            <w:t>Wspieranie zrównoważonej mobilności</w:t>
          </w:r>
          <w:r w:rsidR="001C045C">
            <w:rPr>
              <w:szCs w:val="22"/>
            </w:rPr>
            <w:t>.</w:t>
          </w:r>
        </w:p>
        <w:p w14:paraId="75485A06" w14:textId="5AA6A025" w:rsidR="00E53DD5" w:rsidRPr="00E53DD5" w:rsidRDefault="00E53DD5" w:rsidP="00E53DD5">
          <w:pPr>
            <w:pStyle w:val="Akapitzlist"/>
            <w:numPr>
              <w:ilvl w:val="0"/>
              <w:numId w:val="4"/>
            </w:numPr>
            <w:spacing w:before="120" w:after="240" w:line="276" w:lineRule="auto"/>
            <w:rPr>
              <w:szCs w:val="22"/>
            </w:rPr>
          </w:pPr>
          <w:r w:rsidRPr="00E53DD5">
            <w:rPr>
              <w:szCs w:val="22"/>
            </w:rPr>
            <w:t>Zwiększenie efektywności energetycznej i rozwój energetyki odnawialnej</w:t>
          </w:r>
          <w:r w:rsidR="001C045C">
            <w:rPr>
              <w:szCs w:val="22"/>
            </w:rPr>
            <w:t>.</w:t>
          </w:r>
        </w:p>
        <w:p w14:paraId="19F55052" w14:textId="455A832F" w:rsidR="00E53DD5" w:rsidRPr="00E53DD5" w:rsidRDefault="00E53DD5" w:rsidP="00E53DD5">
          <w:pPr>
            <w:pStyle w:val="Akapitzlist"/>
            <w:numPr>
              <w:ilvl w:val="0"/>
              <w:numId w:val="4"/>
            </w:numPr>
            <w:spacing w:before="120" w:after="240" w:line="276" w:lineRule="auto"/>
            <w:rPr>
              <w:szCs w:val="22"/>
            </w:rPr>
          </w:pPr>
          <w:r w:rsidRPr="00E53DD5">
            <w:rPr>
              <w:szCs w:val="22"/>
            </w:rPr>
            <w:t>Zwiększenie atrakcyjności turystycznej obszaru Partnerstwa</w:t>
          </w:r>
          <w:r w:rsidR="001C045C">
            <w:rPr>
              <w:szCs w:val="22"/>
            </w:rPr>
            <w:t>.</w:t>
          </w:r>
        </w:p>
        <w:p w14:paraId="7DAF7C3E" w14:textId="3C677073" w:rsidR="00E53DD5" w:rsidRPr="00E53DD5" w:rsidRDefault="00E53DD5" w:rsidP="00E53DD5">
          <w:pPr>
            <w:pStyle w:val="Akapitzlist"/>
            <w:numPr>
              <w:ilvl w:val="0"/>
              <w:numId w:val="4"/>
            </w:numPr>
            <w:spacing w:before="120" w:after="240" w:line="276" w:lineRule="auto"/>
            <w:rPr>
              <w:szCs w:val="22"/>
            </w:rPr>
          </w:pPr>
          <w:r w:rsidRPr="00E53DD5">
            <w:rPr>
              <w:szCs w:val="22"/>
            </w:rPr>
            <w:t>Porządkowanie gospodarki wodnej i zwiększenie retencji wód opadowych</w:t>
          </w:r>
          <w:r w:rsidR="001C045C">
            <w:rPr>
              <w:szCs w:val="22"/>
            </w:rPr>
            <w:t>.</w:t>
          </w:r>
        </w:p>
        <w:p w14:paraId="31F352EA" w14:textId="6751C577" w:rsidR="00E53DD5" w:rsidRPr="00E53DD5" w:rsidRDefault="00E53DD5" w:rsidP="00E53DD5">
          <w:pPr>
            <w:pStyle w:val="Akapitzlist"/>
            <w:numPr>
              <w:ilvl w:val="0"/>
              <w:numId w:val="4"/>
            </w:numPr>
            <w:spacing w:before="120" w:after="240" w:line="276" w:lineRule="auto"/>
            <w:rPr>
              <w:szCs w:val="22"/>
            </w:rPr>
          </w:pPr>
          <w:r w:rsidRPr="00E53DD5">
            <w:rPr>
              <w:szCs w:val="22"/>
            </w:rPr>
            <w:t>Wspieranie transformacji w kierunku gospodarki obiegu zamkniętego przez poprawę gospodarowania odpadami</w:t>
          </w:r>
          <w:r w:rsidR="001C045C">
            <w:rPr>
              <w:szCs w:val="22"/>
            </w:rPr>
            <w:t>.</w:t>
          </w:r>
        </w:p>
        <w:p w14:paraId="1491718C" w14:textId="47115054" w:rsidR="000F4192" w:rsidRDefault="00E53DD5" w:rsidP="00E53DD5">
          <w:pPr>
            <w:spacing w:before="120" w:after="240" w:line="276" w:lineRule="auto"/>
            <w:ind w:left="851"/>
            <w:rPr>
              <w:szCs w:val="22"/>
            </w:rPr>
          </w:pPr>
          <w:r>
            <w:rPr>
              <w:szCs w:val="22"/>
            </w:rPr>
            <w:t>Drugim, najważniejszym celem konsultacji</w:t>
          </w:r>
          <w:r w:rsidR="001C045C">
            <w:rPr>
              <w:szCs w:val="22"/>
            </w:rPr>
            <w:t>,</w:t>
          </w:r>
          <w:r>
            <w:rPr>
              <w:szCs w:val="22"/>
            </w:rPr>
            <w:t xml:space="preserve"> było umożliwienie lokalnej społeczności </w:t>
          </w:r>
          <w:r w:rsidRPr="00E53DD5">
            <w:rPr>
              <w:szCs w:val="22"/>
            </w:rPr>
            <w:t>zgłaszania propozycji działań, które pomogą te cele osiągnąć</w:t>
          </w:r>
          <w:r>
            <w:rPr>
              <w:szCs w:val="22"/>
            </w:rPr>
            <w:t xml:space="preserve">. Mieszkańcy zostali spytani o konkretne pomysły na działania </w:t>
          </w:r>
          <w:r w:rsidR="00397BF8">
            <w:rPr>
              <w:szCs w:val="22"/>
            </w:rPr>
            <w:t>służące</w:t>
          </w:r>
          <w:r>
            <w:rPr>
              <w:szCs w:val="22"/>
            </w:rPr>
            <w:t xml:space="preserve"> </w:t>
          </w:r>
          <w:r w:rsidR="00397BF8">
            <w:rPr>
              <w:szCs w:val="22"/>
            </w:rPr>
            <w:t xml:space="preserve">realizacji </w:t>
          </w:r>
          <w:r w:rsidR="000F4192">
            <w:rPr>
              <w:szCs w:val="22"/>
            </w:rPr>
            <w:t>każdego z wyżej wskazanych</w:t>
          </w:r>
          <w:r>
            <w:rPr>
              <w:szCs w:val="22"/>
            </w:rPr>
            <w:t xml:space="preserve"> celów</w:t>
          </w:r>
          <w:r w:rsidR="00397BF8">
            <w:rPr>
              <w:szCs w:val="22"/>
            </w:rPr>
            <w:t>. U</w:t>
          </w:r>
          <w:r>
            <w:rPr>
              <w:szCs w:val="22"/>
            </w:rPr>
            <w:t xml:space="preserve">możliwiono im także opisanie lokalizacji proponowanych działań. </w:t>
          </w:r>
          <w:r w:rsidR="000F4192">
            <w:rPr>
              <w:szCs w:val="22"/>
            </w:rPr>
            <w:t xml:space="preserve">Ostatnie, otwarte pytanie umożliwiło sformułowanie dowolnych uwag dotyczących procesu. </w:t>
          </w:r>
        </w:p>
        <w:p w14:paraId="54B9BD2C" w14:textId="67DE1677" w:rsidR="00397BF8" w:rsidRDefault="000F4192" w:rsidP="00397BF8">
          <w:pPr>
            <w:spacing w:before="120" w:after="240" w:line="276" w:lineRule="auto"/>
            <w:ind w:left="851"/>
            <w:rPr>
              <w:szCs w:val="22"/>
            </w:rPr>
          </w:pPr>
          <w:r>
            <w:rPr>
              <w:szCs w:val="22"/>
            </w:rPr>
            <w:t xml:space="preserve">Ankieta </w:t>
          </w:r>
          <w:r w:rsidR="00397BF8">
            <w:rPr>
              <w:szCs w:val="22"/>
            </w:rPr>
            <w:t xml:space="preserve">była anonimowa i </w:t>
          </w:r>
          <w:r>
            <w:rPr>
              <w:szCs w:val="22"/>
            </w:rPr>
            <w:t>została opracowana przez doradców Związku Miast Polskich</w:t>
          </w:r>
          <w:r w:rsidR="00397BF8">
            <w:rPr>
              <w:szCs w:val="22"/>
            </w:rPr>
            <w:t>. L</w:t>
          </w:r>
          <w:r>
            <w:rPr>
              <w:szCs w:val="22"/>
            </w:rPr>
            <w:t xml:space="preserve">ink do niej został zamieszczony </w:t>
          </w:r>
          <w:r w:rsidR="00397BF8">
            <w:rPr>
              <w:szCs w:val="22"/>
            </w:rPr>
            <w:t xml:space="preserve">na stronach internetowych i portalach społecznościowych gmin </w:t>
          </w:r>
          <w:r w:rsidR="001C045C">
            <w:rPr>
              <w:szCs w:val="22"/>
            </w:rPr>
            <w:t xml:space="preserve">tworzących Partnerstwo MOF Ciechanowa </w:t>
          </w:r>
          <w:r w:rsidR="00397BF8">
            <w:rPr>
              <w:szCs w:val="22"/>
            </w:rPr>
            <w:t xml:space="preserve">w dniach 20-24 lutego 2023 roku. Pierwotnie miała zakończyć się 5 marca, jednak została przedłużona do dnia 9 marca 2023 roku. </w:t>
          </w:r>
        </w:p>
        <w:p w14:paraId="6301824E" w14:textId="77777777" w:rsidR="001C045C" w:rsidRDefault="001C045C" w:rsidP="002D5CB0">
          <w:pPr>
            <w:pStyle w:val="Akapitzlist"/>
            <w:numPr>
              <w:ilvl w:val="0"/>
              <w:numId w:val="1"/>
            </w:numPr>
            <w:spacing w:after="240"/>
            <w:ind w:left="714" w:hanging="357"/>
            <w:rPr>
              <w:rFonts w:ascii="Calibri" w:eastAsiaTheme="majorEastAsia" w:hAnsi="Calibri" w:cstheme="majorBidi"/>
              <w:b/>
              <w:sz w:val="30"/>
              <w:szCs w:val="26"/>
            </w:rPr>
          </w:pPr>
          <w:r>
            <w:rPr>
              <w:rFonts w:ascii="Calibri" w:eastAsiaTheme="majorEastAsia" w:hAnsi="Calibri" w:cstheme="majorBidi"/>
              <w:b/>
              <w:sz w:val="30"/>
              <w:szCs w:val="26"/>
            </w:rPr>
            <w:br w:type="page"/>
          </w:r>
        </w:p>
        <w:p w14:paraId="749B162D" w14:textId="3232D426" w:rsidR="00397BF8" w:rsidRPr="009B4501" w:rsidRDefault="00397BF8" w:rsidP="002D5CB0">
          <w:pPr>
            <w:pStyle w:val="Akapitzlist"/>
            <w:numPr>
              <w:ilvl w:val="0"/>
              <w:numId w:val="1"/>
            </w:numPr>
            <w:spacing w:after="240"/>
            <w:ind w:left="714" w:hanging="357"/>
            <w:rPr>
              <w:rFonts w:ascii="Calibri" w:eastAsiaTheme="majorEastAsia" w:hAnsi="Calibri" w:cstheme="majorBidi"/>
              <w:b/>
              <w:sz w:val="30"/>
              <w:szCs w:val="26"/>
            </w:rPr>
          </w:pPr>
          <w:r>
            <w:rPr>
              <w:rFonts w:ascii="Calibri" w:eastAsiaTheme="majorEastAsia" w:hAnsi="Calibri" w:cstheme="majorBidi"/>
              <w:b/>
              <w:sz w:val="30"/>
              <w:szCs w:val="26"/>
            </w:rPr>
            <w:lastRenderedPageBreak/>
            <w:t>Wyniki</w:t>
          </w:r>
          <w:r w:rsidRPr="009B4501">
            <w:rPr>
              <w:rFonts w:ascii="Calibri" w:eastAsiaTheme="majorEastAsia" w:hAnsi="Calibri" w:cstheme="majorBidi"/>
              <w:b/>
              <w:sz w:val="30"/>
              <w:szCs w:val="26"/>
            </w:rPr>
            <w:t xml:space="preserve"> konsultacji</w:t>
          </w:r>
        </w:p>
        <w:p w14:paraId="56876ED7" w14:textId="3024AFE6" w:rsidR="00560541" w:rsidRDefault="002D5CB0" w:rsidP="00560541">
          <w:pPr>
            <w:spacing w:before="120" w:after="240" w:line="276" w:lineRule="auto"/>
            <w:ind w:left="851"/>
            <w:rPr>
              <w:szCs w:val="22"/>
            </w:rPr>
          </w:pPr>
          <w:r>
            <w:rPr>
              <w:szCs w:val="22"/>
            </w:rPr>
            <w:t>W ankiecie wzięło udział 1</w:t>
          </w:r>
          <w:r w:rsidR="005D2522">
            <w:rPr>
              <w:szCs w:val="22"/>
            </w:rPr>
            <w:t>6</w:t>
          </w:r>
          <w:r>
            <w:rPr>
              <w:szCs w:val="22"/>
            </w:rPr>
            <w:t xml:space="preserve"> osób</w:t>
          </w:r>
          <w:r w:rsidR="001C045C">
            <w:rPr>
              <w:szCs w:val="22"/>
            </w:rPr>
            <w:t xml:space="preserve">, w tym z miasta Ciechanów </w:t>
          </w:r>
          <w:r w:rsidR="008066A8">
            <w:rPr>
              <w:szCs w:val="22"/>
            </w:rPr>
            <w:t>–</w:t>
          </w:r>
          <w:r w:rsidR="001C045C">
            <w:rPr>
              <w:szCs w:val="22"/>
            </w:rPr>
            <w:t xml:space="preserve"> </w:t>
          </w:r>
          <w:r w:rsidR="008066A8">
            <w:rPr>
              <w:szCs w:val="22"/>
            </w:rPr>
            <w:t>10 osób, gminy Ciechanów – 3 osoby, gminy Opinogóra Górna – 2 osoby, gminy Sońsk – 1 osoba.</w:t>
          </w:r>
          <w:r w:rsidR="00723593">
            <w:rPr>
              <w:szCs w:val="22"/>
            </w:rPr>
            <w:t xml:space="preserve"> </w:t>
          </w:r>
          <w:r w:rsidR="00723593">
            <w:rPr>
              <w:szCs w:val="22"/>
            </w:rPr>
            <w:t>Ze względu na niewielką liczbę osób biorących udział w konsultacjach</w:t>
          </w:r>
          <w:r w:rsidR="00FA4D20">
            <w:rPr>
              <w:szCs w:val="22"/>
            </w:rPr>
            <w:t xml:space="preserve"> </w:t>
          </w:r>
          <w:r w:rsidR="00723593">
            <w:rPr>
              <w:szCs w:val="22"/>
            </w:rPr>
            <w:t xml:space="preserve">w raporcie </w:t>
          </w:r>
          <w:r w:rsidR="00723593">
            <w:rPr>
              <w:szCs w:val="22"/>
            </w:rPr>
            <w:t xml:space="preserve">zaprezentowano </w:t>
          </w:r>
          <w:r w:rsidR="00FA4D20">
            <w:rPr>
              <w:szCs w:val="22"/>
            </w:rPr>
            <w:t>kierunki działań wskazywane w indywidualnych opiniach</w:t>
          </w:r>
          <w:r w:rsidR="00723593">
            <w:rPr>
              <w:szCs w:val="22"/>
            </w:rPr>
            <w:t>.</w:t>
          </w:r>
        </w:p>
        <w:p w14:paraId="7846164F" w14:textId="188C61A9" w:rsidR="005D2522" w:rsidRDefault="005D2522" w:rsidP="00560541">
          <w:pPr>
            <w:spacing w:before="120" w:after="240" w:line="276" w:lineRule="auto"/>
            <w:ind w:left="851"/>
            <w:rPr>
              <w:szCs w:val="22"/>
            </w:rPr>
          </w:pPr>
          <w:r>
            <w:rPr>
              <w:szCs w:val="22"/>
            </w:rPr>
            <w:t xml:space="preserve">Propozycje działań w zakresie zrównoważonej mobilności przedstawiło 12 osób. </w:t>
          </w:r>
          <w:r w:rsidR="00C662D7">
            <w:rPr>
              <w:szCs w:val="22"/>
            </w:rPr>
            <w:t>Kierunki działań wyrażone w opiniach</w:t>
          </w:r>
          <w:r w:rsidR="008C4C74">
            <w:rPr>
              <w:szCs w:val="22"/>
            </w:rPr>
            <w:t xml:space="preserve"> zostały</w:t>
          </w:r>
          <w:r>
            <w:rPr>
              <w:szCs w:val="22"/>
            </w:rPr>
            <w:t xml:space="preserve"> </w:t>
          </w:r>
          <w:r w:rsidR="008C4C74">
            <w:rPr>
              <w:szCs w:val="22"/>
            </w:rPr>
            <w:t>przedstawione</w:t>
          </w:r>
          <w:r>
            <w:rPr>
              <w:szCs w:val="22"/>
            </w:rPr>
            <w:t xml:space="preserve"> poniżej:</w:t>
          </w:r>
        </w:p>
        <w:p w14:paraId="1F21D8A6" w14:textId="5D1C2A5F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Wycofanie starych autobusów i wymiana je na niskopodłogowe</w:t>
          </w:r>
          <w:r w:rsidR="001C045C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,</w:t>
          </w: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aby ułatwić dojazd starszym osobom</w:t>
          </w:r>
          <w:r w:rsidR="001C045C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do miasta z obszarów wiejskich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32C994D6" w14:textId="52C82FF0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R</w:t>
          </w: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ozwój ścieżek rowerowych, remonty i budowy dróg gminnych, rozwój komunikacji zbiorowej</w:t>
          </w:r>
          <w:r w:rsidR="008C4C74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6269978B" w14:textId="101EC063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Rozwój komunikacji miejskiej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 - co ułatwi dojazdy </w:t>
          </w:r>
          <w:r w:rsidR="001C045C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np. 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do pracy czy do lekarza.</w:t>
          </w:r>
        </w:p>
        <w:p w14:paraId="1AA07524" w14:textId="6175734A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Budowa i rozbudowa infrastruktury rowerowej.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</w:t>
          </w: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Zwiększenie ilości połączeń komunikacji miejskiej poza obszar miasta.</w:t>
          </w:r>
        </w:p>
        <w:p w14:paraId="086B07F4" w14:textId="6BFFE0C3" w:rsidR="005D2522" w:rsidRPr="005D2522" w:rsidRDefault="008C4C74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Poprawa bezpieczeństwa na drodze w miejscowości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Kanigówek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: zbyt wąski asfalt nie pozwalający na swobodne mijanie się aut osobowych, ruch aut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ciężarow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ych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obsługując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ych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lokalne żwirownie, które pomimo wyznaczonej dla nich innej drogi dojazdowej jeżdżą przez środek wsi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, potrzeba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weryfikacj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i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oznakowania drogi w Kanigówku oraz wprowadzeni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a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regularnych kontroli pojazdów przez odpowiednie służby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36828B51" w14:textId="7D297644" w:rsidR="005D2522" w:rsidRPr="005D2522" w:rsidRDefault="008C4C74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Dostosowanie godzin w rozkładach jazdy pod kątem dojazdów do szkół młodzieży 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z </w:t>
          </w:r>
          <w:proofErr w:type="spellStart"/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Niechidzina</w:t>
          </w:r>
          <w:proofErr w:type="spellEnd"/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, Kownat oraz </w:t>
          </w:r>
          <w:r w:rsid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N</w:t>
          </w:r>
          <w:r w:rsidR="005D2522"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użewa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334D1A5D" w14:textId="62DD9D65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Budowa ścieżek rowerowych i poprawa istniejących dróg, które są w </w:t>
          </w:r>
          <w:r w:rsidR="008C4C74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bardzo złym</w:t>
          </w: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stanie.</w:t>
          </w:r>
        </w:p>
        <w:p w14:paraId="2A331E84" w14:textId="06266B9F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Nowe ekologiczne autobusy, ścieżki rowerowe, budowa drogi łączącej miasto z Aleją Unii Europejskiej.</w:t>
          </w:r>
        </w:p>
        <w:p w14:paraId="510F85AF" w14:textId="6AEC2659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Nowe ścieżki dla rowerów, więcej miejsc parkingowych przy dworcach PKP</w:t>
          </w:r>
          <w:r w:rsidR="008C4C74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45B3D80B" w14:textId="5B7B6559" w:rsidR="005D2522" w:rsidRPr="00D338E5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W mieście mogłoby być więcej ścieżek rowerowych</w:t>
          </w:r>
          <w:r w:rsidR="001C045C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, które warto</w:t>
          </w: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połączyć. Ułatwiłoby to poruszanie się po mieście podczas wycieczek rowerowych z dziećmi</w:t>
          </w:r>
          <w:r w:rsidR="00D338E5" w:rsidRPr="00D338E5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068B50A3" w14:textId="4E489D44" w:rsidR="005D2522" w:rsidRPr="005D2522" w:rsidRDefault="005D2522" w:rsidP="005D2522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Rozwój dróg, które wyprowadzą z miasta samochody</w:t>
          </w:r>
          <w:r w:rsidR="001C045C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 xml:space="preserve"> ciężarowe</w:t>
          </w: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  <w:p w14:paraId="612B7E50" w14:textId="509A4CFE" w:rsidR="001D6CFA" w:rsidRPr="001D6CFA" w:rsidRDefault="005D2522" w:rsidP="001D6CFA">
          <w:pPr>
            <w:pStyle w:val="Akapitzlist"/>
            <w:numPr>
              <w:ilvl w:val="0"/>
              <w:numId w:val="5"/>
            </w:numPr>
            <w:spacing w:before="120" w:after="240" w:line="276" w:lineRule="auto"/>
            <w:rPr>
              <w:szCs w:val="22"/>
            </w:rPr>
          </w:pPr>
          <w:r w:rsidRPr="005D2522"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Większa częstotliwość autobusów, więcej linii autobusowych</w:t>
          </w:r>
          <w:r>
            <w:rPr>
              <w:rFonts w:ascii="Calibri" w:eastAsia="Times New Roman" w:hAnsi="Calibri" w:cs="Calibri"/>
              <w:color w:val="000000"/>
              <w:sz w:val="22"/>
              <w:szCs w:val="22"/>
              <w:lang w:eastAsia="pl-PL"/>
            </w:rPr>
            <w:t>.</w:t>
          </w:r>
        </w:p>
      </w:sdtContent>
    </w:sdt>
    <w:p w14:paraId="44449D72" w14:textId="26401FA9" w:rsidR="001D6CFA" w:rsidRDefault="001D6CFA" w:rsidP="001D6CFA">
      <w:pPr>
        <w:spacing w:before="120" w:after="240" w:line="276" w:lineRule="auto"/>
        <w:ind w:left="851"/>
        <w:rPr>
          <w:szCs w:val="22"/>
        </w:rPr>
      </w:pPr>
      <w:r>
        <w:rPr>
          <w:szCs w:val="22"/>
        </w:rPr>
        <w:t>Propozycje działań w zakresie z</w:t>
      </w:r>
      <w:r w:rsidRPr="001D6CFA">
        <w:rPr>
          <w:szCs w:val="22"/>
        </w:rPr>
        <w:t>większeni</w:t>
      </w:r>
      <w:r>
        <w:rPr>
          <w:szCs w:val="22"/>
        </w:rPr>
        <w:t>a</w:t>
      </w:r>
      <w:r w:rsidRPr="001D6CFA">
        <w:rPr>
          <w:szCs w:val="22"/>
        </w:rPr>
        <w:t xml:space="preserve"> efektywności energetycznej i rozw</w:t>
      </w:r>
      <w:r>
        <w:rPr>
          <w:szCs w:val="22"/>
        </w:rPr>
        <w:t>oju</w:t>
      </w:r>
      <w:r w:rsidRPr="001D6CFA">
        <w:rPr>
          <w:szCs w:val="22"/>
        </w:rPr>
        <w:t xml:space="preserve"> energetyki odnawialnej</w:t>
      </w:r>
      <w:r>
        <w:rPr>
          <w:szCs w:val="22"/>
        </w:rPr>
        <w:t xml:space="preserve"> przedstawiło 9 osób. </w:t>
      </w:r>
      <w:r w:rsidR="00C662D7">
        <w:rPr>
          <w:szCs w:val="22"/>
        </w:rPr>
        <w:t>Kierunki działań wyrażone w opiniach zostały przedstawione poniżej</w:t>
      </w:r>
      <w:r>
        <w:rPr>
          <w:szCs w:val="22"/>
        </w:rPr>
        <w:t xml:space="preserve">: </w:t>
      </w:r>
    </w:p>
    <w:p w14:paraId="40EAF3E2" w14:textId="4867406E" w:rsidR="001D6CFA" w:rsidRPr="00D338E5" w:rsidRDefault="00D338E5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lastRenderedPageBreak/>
        <w:t>Dofinansowanie</w:t>
      </w:r>
      <w:r w:rsidR="001D6CFA"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wymian</w:t>
      </w: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y</w:t>
      </w:r>
      <w:r w:rsidR="001D6CFA"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źródeł ciepła, </w:t>
      </w: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dofinansowania</w:t>
      </w:r>
      <w:r w:rsidR="001D6CFA"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do zakupu instalacji fotowoltaicznych, dofinansowanie do termomodernizacji budynków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</w:t>
      </w:r>
      <w:r w:rsidR="001D6CFA"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jednorodzinnych, dofinansowanie elektrowni wiatrowych, pomp ciepła</w:t>
      </w: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5567008F" w14:textId="24FF0576" w:rsidR="001D6CFA" w:rsidRPr="00D338E5" w:rsidRDefault="001D6CFA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Wymiana oświetlenia na energooszczędne. Inwestycje w OZE.</w:t>
      </w: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br/>
        <w:t>Wymiana taboru na niskoemisyjny lub zeroemisyjny komunikacji miejskiej.</w:t>
      </w:r>
    </w:p>
    <w:p w14:paraId="0675FED1" w14:textId="0E7028C8" w:rsidR="001D6CFA" w:rsidRPr="00D338E5" w:rsidRDefault="001D6CFA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Dofinansowanie gminy do założenia odnawialnych </w:t>
      </w:r>
      <w:r w:rsidR="00D338E5"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źródeł</w:t>
      </w: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energii w postaci paneli fotowoltaicznych.</w:t>
      </w:r>
    </w:p>
    <w:p w14:paraId="12DC4E66" w14:textId="7FD9479C" w:rsidR="001D6CFA" w:rsidRPr="00D338E5" w:rsidRDefault="001D6CFA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Dofinansowanie do OZE dla mieszkańców</w:t>
      </w:r>
      <w:r w:rsidR="00D338E5"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18783922" w14:textId="4D9D2C66" w:rsidR="001D6CFA" w:rsidRPr="00D338E5" w:rsidRDefault="001D6CFA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Większe dotacje na panele, kolektory i pompy ciepła w domach jednorodzinnych</w:t>
      </w:r>
      <w:r w:rsidR="00D338E5"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76661A63" w14:textId="460F3091" w:rsidR="001D6CFA" w:rsidRPr="00D338E5" w:rsidRDefault="001D6CFA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Panele fotowoltaiczne albo inne OZE dla mieszkańców z dofinansowaniem.</w:t>
      </w:r>
    </w:p>
    <w:p w14:paraId="54E70549" w14:textId="3C1F89F6" w:rsidR="001D6CFA" w:rsidRPr="00D338E5" w:rsidRDefault="001D6CFA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Więcej OZE</w:t>
      </w:r>
      <w:r w:rsid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0F79A06D" w14:textId="6ECE02C8" w:rsidR="001D6CFA" w:rsidRPr="00D338E5" w:rsidRDefault="00D338E5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T</w:t>
      </w:r>
      <w:r w:rsidR="001D6CFA"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ermomodernizacja budynków</w:t>
      </w: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5994AE3C" w14:textId="3AB0D091" w:rsidR="00801BC5" w:rsidRDefault="00D338E5" w:rsidP="001D6CFA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</w:t>
      </w:r>
      <w:r w:rsidR="001D6CFA" w:rsidRPr="001D6CF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ofinansowanie gmin z MOF dla mieszkańców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1C0BEDB7" w14:textId="21900E79" w:rsidR="00D338E5" w:rsidRDefault="00D338E5" w:rsidP="00D338E5">
      <w:pPr>
        <w:ind w:left="708"/>
        <w:rPr>
          <w:lang w:eastAsia="pl-PL"/>
        </w:rPr>
      </w:pPr>
      <w:r w:rsidRPr="00D338E5">
        <w:rPr>
          <w:szCs w:val="22"/>
        </w:rPr>
        <w:t xml:space="preserve">Propozycje działań w zakresie zwiększenia </w:t>
      </w:r>
      <w:r w:rsidRPr="00D338E5">
        <w:t>atrakcyjności turystycznej obszaru Partnerstwa</w:t>
      </w:r>
      <w:r w:rsidR="008066A8">
        <w:rPr>
          <w:szCs w:val="22"/>
        </w:rPr>
        <w:t xml:space="preserve">, w tym rozwoju oferty czasu wolnego, </w:t>
      </w:r>
      <w:r w:rsidRPr="00D338E5">
        <w:rPr>
          <w:szCs w:val="22"/>
        </w:rPr>
        <w:t xml:space="preserve">przedstawiło </w:t>
      </w:r>
      <w:r w:rsidR="00723593">
        <w:rPr>
          <w:szCs w:val="22"/>
        </w:rPr>
        <w:t>7</w:t>
      </w:r>
      <w:r w:rsidRPr="00D338E5">
        <w:rPr>
          <w:szCs w:val="22"/>
        </w:rPr>
        <w:t xml:space="preserve"> osób. </w:t>
      </w:r>
      <w:r w:rsidR="00C662D7">
        <w:rPr>
          <w:szCs w:val="22"/>
        </w:rPr>
        <w:t>Kierunki działań wyrażone w opiniach zostały przedstawione poniżej</w:t>
      </w:r>
      <w:r w:rsidRPr="00D338E5">
        <w:rPr>
          <w:szCs w:val="22"/>
        </w:rPr>
        <w:t>:</w:t>
      </w:r>
    </w:p>
    <w:p w14:paraId="4ECAFE38" w14:textId="7A75DF33" w:rsidR="00D338E5" w:rsidRPr="008066A8" w:rsidRDefault="008066A8" w:rsidP="00D338E5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066A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</w:t>
      </w:r>
      <w:r w:rsidR="00D338E5" w:rsidRPr="008066A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rganizacja imprez, spektakli, wystaw w miejscach turystycznych, współpraca z kołami gospodyń wiejskich i organizacjami pozarządowymi</w:t>
      </w:r>
      <w:r w:rsidR="001C045C" w:rsidRPr="008066A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44DF0E34" w14:textId="72B18A7F" w:rsidR="00D338E5" w:rsidRPr="008066A8" w:rsidRDefault="008066A8" w:rsidP="00D338E5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8066A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Budowa placu zabaw 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i zorganizowanie zajęć dla dzieci w świetlicach (okolice </w:t>
      </w:r>
      <w:r w:rsidR="00D338E5" w:rsidRPr="008066A8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Długołęki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).</w:t>
      </w:r>
    </w:p>
    <w:p w14:paraId="393B25BE" w14:textId="2D23CD3B" w:rsidR="00D338E5" w:rsidRPr="00D338E5" w:rsidRDefault="00D338E5" w:rsidP="00D338E5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 rejonie Kanigówek Rydzewo i okolicach są piękne krajobrazy sprzyjające wycieczkom rowerowym niestety wąskie drogi nie są bezpieczne dla rowerzystów z dziećmi. Budowa ścieżek rowerowych może zwiększyć atrakcyjność terenu.</w:t>
      </w:r>
    </w:p>
    <w:p w14:paraId="02761FC8" w14:textId="7BE85B39" w:rsidR="00D338E5" w:rsidRPr="00D338E5" w:rsidRDefault="00D338E5" w:rsidP="00D338E5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Większa promocja turystyczna, tworzenie nowych miejsc kultury, zapraszanie znanych osobistości z Ciechanowa i większe promowanie w oparciu o historię miejsc</w:t>
      </w:r>
      <w:r w:rsidR="00723593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03BD5C67" w14:textId="1EDFDBDB" w:rsidR="00D338E5" w:rsidRPr="00D338E5" w:rsidRDefault="00D338E5" w:rsidP="00D338E5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Promowanie miasta w oparciu o zieleń, rzekę, historię i atrakcyjne miejsca, m.in. takie jak Park Nauki Torus</w:t>
      </w:r>
      <w:r w:rsidR="00723593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48C0FD7B" w14:textId="67A0CCDB" w:rsidR="00D338E5" w:rsidRPr="00D338E5" w:rsidRDefault="00D338E5" w:rsidP="00D338E5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Promowanie zabytków wieży ciśnień i zamku</w:t>
      </w:r>
      <w:r w:rsidR="00723593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4195F24F" w14:textId="6DEEADD8" w:rsidR="00723593" w:rsidRPr="00C662D7" w:rsidRDefault="00723593" w:rsidP="00C662D7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W</w:t>
      </w:r>
      <w:r w:rsidR="00D338E5" w:rsidRPr="00D338E5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ięcej zieleni i atrakcyjnych miejsc w mieście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06D099E9" w14:textId="4790C7ED" w:rsidR="00723593" w:rsidRDefault="00723593" w:rsidP="00723593">
      <w:pPr>
        <w:ind w:left="708"/>
        <w:rPr>
          <w:lang w:eastAsia="pl-PL"/>
        </w:rPr>
      </w:pPr>
      <w:r w:rsidRPr="00723593">
        <w:rPr>
          <w:szCs w:val="22"/>
        </w:rPr>
        <w:t xml:space="preserve">Propozycje działań w zakresie </w:t>
      </w:r>
      <w:r>
        <w:rPr>
          <w:szCs w:val="22"/>
        </w:rPr>
        <w:t>p</w:t>
      </w:r>
      <w:r w:rsidRPr="00723593">
        <w:rPr>
          <w:szCs w:val="22"/>
        </w:rPr>
        <w:t>orządkowani</w:t>
      </w:r>
      <w:r>
        <w:rPr>
          <w:szCs w:val="22"/>
        </w:rPr>
        <w:t>a</w:t>
      </w:r>
      <w:r w:rsidRPr="00723593">
        <w:rPr>
          <w:szCs w:val="22"/>
        </w:rPr>
        <w:t xml:space="preserve"> gospodarki wodnej i zwiększeni</w:t>
      </w:r>
      <w:r>
        <w:rPr>
          <w:szCs w:val="22"/>
        </w:rPr>
        <w:t>a</w:t>
      </w:r>
      <w:r w:rsidRPr="00723593">
        <w:rPr>
          <w:szCs w:val="22"/>
        </w:rPr>
        <w:t xml:space="preserve"> retencji wód opadowych przedstawiło </w:t>
      </w:r>
      <w:r>
        <w:rPr>
          <w:szCs w:val="22"/>
        </w:rPr>
        <w:t>7</w:t>
      </w:r>
      <w:r w:rsidRPr="00723593">
        <w:rPr>
          <w:szCs w:val="22"/>
        </w:rPr>
        <w:t xml:space="preserve"> osób. </w:t>
      </w:r>
      <w:r w:rsidR="006D294E">
        <w:rPr>
          <w:szCs w:val="22"/>
        </w:rPr>
        <w:t>Kierunki działań wyrażone w opiniach zostały przedstawione poniżej</w:t>
      </w:r>
      <w:r w:rsidRPr="00723593">
        <w:rPr>
          <w:szCs w:val="22"/>
        </w:rPr>
        <w:t>:</w:t>
      </w:r>
    </w:p>
    <w:p w14:paraId="2C11D0A8" w14:textId="0BAFE615" w:rsidR="00723593" w:rsidRPr="00723593" w:rsidRDefault="00C662D7" w:rsidP="00723593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D</w:t>
      </w:r>
      <w:r w:rsidR="00723593" w:rsidRPr="00723593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ofinansowanie urządzeń zbierających wodę w gospodarstwach jednorodzinnych, wsparcie gospodarstw rolnych w środki finansowe na budowę zbiorników wodnych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 xml:space="preserve"> (</w:t>
      </w:r>
      <w:r w:rsidR="00723593" w:rsidRPr="00723593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staw</w:t>
      </w:r>
      <w:r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ów)</w:t>
      </w:r>
    </w:p>
    <w:p w14:paraId="3DC999F2" w14:textId="36C93A8F" w:rsidR="00D338E5" w:rsidRDefault="00C662D7" w:rsidP="00723593">
      <w:pPr>
        <w:pStyle w:val="Akapitzlist"/>
        <w:numPr>
          <w:ilvl w:val="0"/>
          <w:numId w:val="5"/>
        </w:numPr>
        <w:spacing w:before="120" w:after="240" w:line="276" w:lineRule="auto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723593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Budowa zbiorników, odprowadzanie wód opadowych do zbiorników w celu przyszłego wykorzystania.</w:t>
      </w:r>
    </w:p>
    <w:p w14:paraId="7A239D3F" w14:textId="26C7D828" w:rsidR="00D338E5" w:rsidRDefault="00C662D7" w:rsidP="00C30555">
      <w:pPr>
        <w:pStyle w:val="Akapitzlist"/>
        <w:numPr>
          <w:ilvl w:val="0"/>
          <w:numId w:val="5"/>
        </w:numPr>
        <w:spacing w:before="120" w:after="240" w:line="276" w:lineRule="auto"/>
      </w:pPr>
      <w:r>
        <w:rPr>
          <w:lang w:eastAsia="pl-PL"/>
        </w:rPr>
        <w:lastRenderedPageBreak/>
        <w:t xml:space="preserve">Umożliwienie tworzenia zbiorników </w:t>
      </w:r>
      <w:r w:rsidRPr="00723593">
        <w:rPr>
          <w:lang w:eastAsia="pl-PL"/>
        </w:rPr>
        <w:t>podziemn</w:t>
      </w:r>
      <w:r>
        <w:rPr>
          <w:lang w:eastAsia="pl-PL"/>
        </w:rPr>
        <w:t>ych</w:t>
      </w:r>
      <w:r w:rsidRPr="00723593">
        <w:rPr>
          <w:lang w:eastAsia="pl-PL"/>
        </w:rPr>
        <w:t xml:space="preserve"> na wody deszczowe </w:t>
      </w:r>
      <w:r>
        <w:rPr>
          <w:lang w:eastAsia="pl-PL"/>
        </w:rPr>
        <w:t xml:space="preserve">do </w:t>
      </w:r>
      <w:r w:rsidRPr="00723593">
        <w:rPr>
          <w:lang w:eastAsia="pl-PL"/>
        </w:rPr>
        <w:t>10m</w:t>
      </w:r>
      <w:r w:rsidRPr="00723593">
        <w:rPr>
          <w:vertAlign w:val="superscript"/>
          <w:lang w:eastAsia="pl-PL"/>
        </w:rPr>
        <w:t>3</w:t>
      </w:r>
      <w:r w:rsidRPr="00723593">
        <w:rPr>
          <w:lang w:eastAsia="pl-PL"/>
        </w:rPr>
        <w:t xml:space="preserve"> </w:t>
      </w:r>
      <w:r>
        <w:rPr>
          <w:lang w:eastAsia="pl-PL"/>
        </w:rPr>
        <w:t>przez</w:t>
      </w:r>
      <w:r w:rsidRPr="00723593">
        <w:rPr>
          <w:lang w:eastAsia="pl-PL"/>
        </w:rPr>
        <w:t xml:space="preserve"> Starostwo Powiatowe w Ciechanowie </w:t>
      </w:r>
      <w:r>
        <w:rPr>
          <w:lang w:eastAsia="pl-PL"/>
        </w:rPr>
        <w:t>– bez</w:t>
      </w:r>
      <w:r w:rsidRPr="00723593">
        <w:rPr>
          <w:lang w:eastAsia="pl-PL"/>
        </w:rPr>
        <w:t xml:space="preserve"> wymagani</w:t>
      </w:r>
      <w:r>
        <w:rPr>
          <w:lang w:eastAsia="pl-PL"/>
        </w:rPr>
        <w:t>a</w:t>
      </w:r>
      <w:r w:rsidRPr="00723593">
        <w:rPr>
          <w:lang w:eastAsia="pl-PL"/>
        </w:rPr>
        <w:t xml:space="preserve"> pozwolenia na </w:t>
      </w:r>
      <w:r w:rsidRPr="00723593">
        <w:rPr>
          <w:lang w:eastAsia="pl-PL"/>
        </w:rPr>
        <w:t>budowę</w:t>
      </w:r>
      <w:r>
        <w:rPr>
          <w:lang w:eastAsia="pl-PL"/>
        </w:rPr>
        <w:t>.</w:t>
      </w:r>
    </w:p>
    <w:p w14:paraId="60CBF08C" w14:textId="04DA4FA5" w:rsidR="00C662D7" w:rsidRDefault="00C662D7" w:rsidP="00C30555">
      <w:pPr>
        <w:pStyle w:val="Akapitzlist"/>
        <w:numPr>
          <w:ilvl w:val="0"/>
          <w:numId w:val="5"/>
        </w:numPr>
        <w:spacing w:before="120" w:after="240" w:line="276" w:lineRule="auto"/>
      </w:pPr>
      <w:r>
        <w:t xml:space="preserve">Tworzenie rowów melioracyjnych i zbiorników retencyjnych </w:t>
      </w:r>
      <w:r w:rsidRPr="00723593">
        <w:rPr>
          <w:lang w:eastAsia="pl-PL"/>
        </w:rPr>
        <w:t>w rejonie Gumowa i Kanigówka</w:t>
      </w:r>
      <w:r>
        <w:rPr>
          <w:lang w:eastAsia="pl-PL"/>
        </w:rPr>
        <w:t xml:space="preserve">, co – </w:t>
      </w:r>
      <w:r>
        <w:rPr>
          <w:lang w:eastAsia="pl-PL"/>
        </w:rPr>
        <w:t>ze względu na ukształtowanie terenu</w:t>
      </w:r>
      <w:r>
        <w:rPr>
          <w:lang w:eastAsia="pl-PL"/>
        </w:rPr>
        <w:t xml:space="preserve"> – pozwoli  na zatrzymanie wody spływającej po obfitych deszczach.</w:t>
      </w:r>
    </w:p>
    <w:p w14:paraId="51240B88" w14:textId="167CEE08" w:rsidR="00C662D7" w:rsidRDefault="00C662D7" w:rsidP="00C30555">
      <w:pPr>
        <w:pStyle w:val="Akapitzlist"/>
        <w:numPr>
          <w:ilvl w:val="0"/>
          <w:numId w:val="5"/>
        </w:numPr>
        <w:spacing w:before="120" w:after="240" w:line="276" w:lineRule="auto"/>
      </w:pPr>
      <w:proofErr w:type="spellStart"/>
      <w:r w:rsidRPr="00723593">
        <w:rPr>
          <w:lang w:eastAsia="pl-PL"/>
        </w:rPr>
        <w:t>Odbetonowanie</w:t>
      </w:r>
      <w:proofErr w:type="spellEnd"/>
      <w:r w:rsidRPr="00723593">
        <w:rPr>
          <w:lang w:eastAsia="pl-PL"/>
        </w:rPr>
        <w:t xml:space="preserve"> centrum miasta</w:t>
      </w:r>
      <w:r>
        <w:rPr>
          <w:lang w:eastAsia="pl-PL"/>
        </w:rPr>
        <w:t xml:space="preserve"> Ciechanów</w:t>
      </w:r>
      <w:r w:rsidRPr="00723593">
        <w:rPr>
          <w:lang w:eastAsia="pl-PL"/>
        </w:rPr>
        <w:t>, bogate nasadzenia, dużo miejsc zieleni, rekreacji i odpoczynku</w:t>
      </w:r>
      <w:r>
        <w:rPr>
          <w:lang w:eastAsia="pl-PL"/>
        </w:rPr>
        <w:t>.</w:t>
      </w:r>
    </w:p>
    <w:p w14:paraId="08283BE1" w14:textId="7DCB6F3A" w:rsidR="00C662D7" w:rsidRDefault="00C662D7" w:rsidP="00C30555">
      <w:pPr>
        <w:pStyle w:val="Akapitzlist"/>
        <w:numPr>
          <w:ilvl w:val="0"/>
          <w:numId w:val="5"/>
        </w:numPr>
        <w:spacing w:before="120" w:after="240" w:line="276" w:lineRule="auto"/>
      </w:pPr>
      <w:r w:rsidRPr="00723593">
        <w:rPr>
          <w:lang w:eastAsia="pl-PL"/>
        </w:rPr>
        <w:t>Więcej zieleni w mieście i zbiorniki retencyjne</w:t>
      </w:r>
      <w:r>
        <w:rPr>
          <w:lang w:eastAsia="pl-PL"/>
        </w:rPr>
        <w:t>.</w:t>
      </w:r>
    </w:p>
    <w:p w14:paraId="655FF849" w14:textId="30E54C88" w:rsidR="00C662D7" w:rsidRDefault="00C662D7" w:rsidP="00C30555">
      <w:pPr>
        <w:pStyle w:val="Akapitzlist"/>
        <w:numPr>
          <w:ilvl w:val="0"/>
          <w:numId w:val="5"/>
        </w:numPr>
        <w:spacing w:before="120" w:after="240" w:line="276" w:lineRule="auto"/>
      </w:pPr>
      <w:r w:rsidRPr="00723593">
        <w:rPr>
          <w:lang w:eastAsia="pl-PL"/>
        </w:rPr>
        <w:t>Małe zbiorniki do retencji przy blokach</w:t>
      </w:r>
      <w:r>
        <w:rPr>
          <w:lang w:eastAsia="pl-PL"/>
        </w:rPr>
        <w:t>, które będą zbierać deszczówkę.</w:t>
      </w:r>
    </w:p>
    <w:p w14:paraId="741881E5" w14:textId="35A396CF" w:rsidR="00C662D7" w:rsidRPr="00C662D7" w:rsidRDefault="00C662D7" w:rsidP="00C662D7">
      <w:pPr>
        <w:ind w:left="708"/>
        <w:rPr>
          <w:szCs w:val="22"/>
        </w:rPr>
      </w:pPr>
      <w:r w:rsidRPr="00C662D7">
        <w:rPr>
          <w:szCs w:val="22"/>
        </w:rPr>
        <w:t xml:space="preserve">Propozycje działań w zakresie </w:t>
      </w:r>
      <w:r w:rsidR="006D294E">
        <w:rPr>
          <w:szCs w:val="22"/>
        </w:rPr>
        <w:t>w</w:t>
      </w:r>
      <w:r w:rsidR="006D294E" w:rsidRPr="006D294E">
        <w:rPr>
          <w:szCs w:val="22"/>
        </w:rPr>
        <w:t>spierani</w:t>
      </w:r>
      <w:r w:rsidR="006D294E">
        <w:rPr>
          <w:szCs w:val="22"/>
        </w:rPr>
        <w:t>a</w:t>
      </w:r>
      <w:r w:rsidR="006D294E" w:rsidRPr="006D294E">
        <w:rPr>
          <w:szCs w:val="22"/>
        </w:rPr>
        <w:t xml:space="preserve"> transformacji w kierunku gospodarki obiegu zamkniętego przez poprawę gospodarowania odpadami</w:t>
      </w:r>
      <w:r w:rsidR="006D294E">
        <w:rPr>
          <w:szCs w:val="22"/>
        </w:rPr>
        <w:t xml:space="preserve"> </w:t>
      </w:r>
      <w:r w:rsidRPr="00C662D7">
        <w:rPr>
          <w:szCs w:val="22"/>
        </w:rPr>
        <w:t>przedstawił</w:t>
      </w:r>
      <w:r w:rsidR="006D294E">
        <w:rPr>
          <w:szCs w:val="22"/>
        </w:rPr>
        <w:t>y</w:t>
      </w:r>
      <w:r w:rsidRPr="00C662D7">
        <w:rPr>
          <w:szCs w:val="22"/>
        </w:rPr>
        <w:t xml:space="preserve"> </w:t>
      </w:r>
      <w:r w:rsidR="006D294E">
        <w:rPr>
          <w:szCs w:val="22"/>
        </w:rPr>
        <w:t>3</w:t>
      </w:r>
      <w:r w:rsidRPr="00C662D7">
        <w:rPr>
          <w:szCs w:val="22"/>
        </w:rPr>
        <w:t xml:space="preserve"> os</w:t>
      </w:r>
      <w:r w:rsidR="006D294E">
        <w:rPr>
          <w:szCs w:val="22"/>
        </w:rPr>
        <w:t>o</w:t>
      </w:r>
      <w:r w:rsidRPr="00C662D7">
        <w:rPr>
          <w:szCs w:val="22"/>
        </w:rPr>
        <w:t>b</w:t>
      </w:r>
      <w:r w:rsidR="006D294E">
        <w:rPr>
          <w:szCs w:val="22"/>
        </w:rPr>
        <w:t>y</w:t>
      </w:r>
      <w:r w:rsidRPr="00C662D7">
        <w:rPr>
          <w:szCs w:val="22"/>
        </w:rPr>
        <w:t xml:space="preserve">. </w:t>
      </w:r>
      <w:r w:rsidR="006D294E">
        <w:rPr>
          <w:szCs w:val="22"/>
        </w:rPr>
        <w:t>Kierunki działań wyrażone w opiniach zostały przedstawione poniżej</w:t>
      </w:r>
      <w:r w:rsidRPr="00C662D7">
        <w:rPr>
          <w:szCs w:val="22"/>
        </w:rPr>
        <w:t>:</w:t>
      </w:r>
    </w:p>
    <w:p w14:paraId="2ABB0866" w14:textId="32BADA1F" w:rsidR="00C662D7" w:rsidRPr="006D294E" w:rsidRDefault="00C662D7" w:rsidP="00C662D7">
      <w:pPr>
        <w:pStyle w:val="Akapitzlist"/>
        <w:numPr>
          <w:ilvl w:val="0"/>
          <w:numId w:val="5"/>
        </w:numPr>
        <w:spacing w:before="120" w:after="240" w:line="276" w:lineRule="auto"/>
        <w:rPr>
          <w:lang w:eastAsia="pl-PL"/>
        </w:rPr>
      </w:pPr>
      <w:r w:rsidRPr="00C662D7">
        <w:rPr>
          <w:lang w:eastAsia="pl-PL"/>
        </w:rPr>
        <w:t>Dofinansowanie urządzeń zbierających wodę w gospodarstwach jednorodzinnych,</w:t>
      </w:r>
      <w:r w:rsidR="006D294E">
        <w:rPr>
          <w:lang w:eastAsia="pl-PL"/>
        </w:rPr>
        <w:t xml:space="preserve"> </w:t>
      </w:r>
      <w:r w:rsidR="006D294E" w:rsidRPr="006D294E">
        <w:rPr>
          <w:lang w:eastAsia="pl-PL"/>
        </w:rPr>
        <w:t xml:space="preserve">dofinansowanie punktów </w:t>
      </w:r>
      <w:r w:rsidR="006D294E" w:rsidRPr="006D294E">
        <w:rPr>
          <w:lang w:eastAsia="pl-PL"/>
        </w:rPr>
        <w:t>skupu</w:t>
      </w:r>
      <w:r w:rsidR="006D294E" w:rsidRPr="006D294E">
        <w:rPr>
          <w:lang w:eastAsia="pl-PL"/>
        </w:rPr>
        <w:t xml:space="preserve"> odpadów takich jak szkło, makulatura, plastik. Odkup odpadów z gospodarstw takich jak szkło, plastik, metal.</w:t>
      </w:r>
    </w:p>
    <w:p w14:paraId="0E655CA2" w14:textId="38F47FB4" w:rsidR="006D294E" w:rsidRPr="006D294E" w:rsidRDefault="006D294E" w:rsidP="00C662D7">
      <w:pPr>
        <w:pStyle w:val="Akapitzlist"/>
        <w:numPr>
          <w:ilvl w:val="0"/>
          <w:numId w:val="5"/>
        </w:numPr>
        <w:spacing w:before="120" w:after="240" w:line="276" w:lineRule="auto"/>
        <w:rPr>
          <w:lang w:eastAsia="pl-PL"/>
        </w:rPr>
      </w:pPr>
      <w:r w:rsidRPr="006D294E">
        <w:rPr>
          <w:lang w:eastAsia="pl-PL"/>
        </w:rPr>
        <w:t>Promowanie działań ekologicznych, nauka od najmłodszych lat</w:t>
      </w:r>
      <w:r>
        <w:rPr>
          <w:lang w:eastAsia="pl-PL"/>
        </w:rPr>
        <w:t>.</w:t>
      </w:r>
    </w:p>
    <w:p w14:paraId="00AB248E" w14:textId="78F5ABEF" w:rsidR="006D294E" w:rsidRDefault="006D294E" w:rsidP="006D294E">
      <w:pPr>
        <w:pStyle w:val="Akapitzlist"/>
        <w:numPr>
          <w:ilvl w:val="0"/>
          <w:numId w:val="5"/>
        </w:numPr>
        <w:spacing w:before="120" w:after="240" w:line="276" w:lineRule="auto"/>
        <w:rPr>
          <w:lang w:eastAsia="pl-PL"/>
        </w:rPr>
      </w:pPr>
      <w:r w:rsidRPr="006D294E">
        <w:rPr>
          <w:lang w:eastAsia="pl-PL"/>
        </w:rPr>
        <w:t>Zwiększanie świadomości mieszkańców na temat segregacji</w:t>
      </w:r>
      <w:r>
        <w:rPr>
          <w:lang w:eastAsia="pl-PL"/>
        </w:rPr>
        <w:t>, wprowadzanie nowych koszy</w:t>
      </w:r>
      <w:r w:rsidRPr="006D294E">
        <w:rPr>
          <w:lang w:eastAsia="pl-PL"/>
        </w:rPr>
        <w:t xml:space="preserve"> do segregacji </w:t>
      </w:r>
      <w:r>
        <w:rPr>
          <w:lang w:eastAsia="pl-PL"/>
        </w:rPr>
        <w:t>(dla poszczególnych mieszkań)</w:t>
      </w:r>
      <w:r w:rsidRPr="006D294E">
        <w:rPr>
          <w:lang w:eastAsia="pl-PL"/>
        </w:rPr>
        <w:t xml:space="preserve"> </w:t>
      </w:r>
      <w:r w:rsidRPr="006D294E">
        <w:rPr>
          <w:lang w:eastAsia="pl-PL"/>
        </w:rPr>
        <w:t>na terenach bloków</w:t>
      </w:r>
      <w:r>
        <w:rPr>
          <w:lang w:eastAsia="pl-PL"/>
        </w:rPr>
        <w:t xml:space="preserve">. </w:t>
      </w:r>
    </w:p>
    <w:p w14:paraId="27BE509F" w14:textId="3E7BF2A1" w:rsidR="006D294E" w:rsidRDefault="006D294E" w:rsidP="006D294E">
      <w:pPr>
        <w:spacing w:before="120" w:after="240" w:line="276" w:lineRule="auto"/>
        <w:ind w:left="708"/>
        <w:rPr>
          <w:lang w:eastAsia="pl-PL"/>
        </w:rPr>
      </w:pPr>
      <w:r>
        <w:rPr>
          <w:lang w:eastAsia="pl-PL"/>
        </w:rPr>
        <w:t>Ponadto, w pytaniu powalającym na swobodne sformułowanie rekomendacji jedna osoba zwróciła uwagę na potrzebę poprawy sytuacji pod względem tworzenia nowych miejsc pracy w gminie Opinogóra Górna.</w:t>
      </w:r>
    </w:p>
    <w:p w14:paraId="59269F92" w14:textId="2A23E220" w:rsidR="006D294E" w:rsidRDefault="006D294E" w:rsidP="006D294E">
      <w:pPr>
        <w:spacing w:before="120" w:after="240" w:line="276" w:lineRule="auto"/>
        <w:ind w:left="708"/>
        <w:rPr>
          <w:lang w:eastAsia="pl-PL"/>
        </w:rPr>
      </w:pPr>
      <w:r>
        <w:rPr>
          <w:lang w:eastAsia="pl-PL"/>
        </w:rPr>
        <w:t>Przedstawione propozycje zostaną wzięte pod uwagę w procesie formułowania kierunkó</w:t>
      </w:r>
      <w:r w:rsidR="00FA4D20">
        <w:rPr>
          <w:lang w:eastAsia="pl-PL"/>
        </w:rPr>
        <w:t>w</w:t>
      </w:r>
      <w:r>
        <w:rPr>
          <w:lang w:eastAsia="pl-PL"/>
        </w:rPr>
        <w:t xml:space="preserve"> działań i projektó</w:t>
      </w:r>
      <w:r w:rsidR="00FA4D20">
        <w:rPr>
          <w:lang w:eastAsia="pl-PL"/>
        </w:rPr>
        <w:t>w</w:t>
      </w:r>
      <w:r>
        <w:rPr>
          <w:lang w:eastAsia="pl-PL"/>
        </w:rPr>
        <w:t xml:space="preserve">  strategii rozwoju ponadlokalnego MOF Ciechanowa. </w:t>
      </w:r>
      <w:r w:rsidR="00FA4D20">
        <w:rPr>
          <w:lang w:eastAsia="pl-PL"/>
        </w:rPr>
        <w:t>Niektóre z sugestii – ze względu wysoki stopień szczegółowości</w:t>
      </w:r>
      <w:r w:rsidR="00FA4D20">
        <w:rPr>
          <w:lang w:eastAsia="pl-PL"/>
        </w:rPr>
        <w:t xml:space="preserve"> </w:t>
      </w:r>
      <w:r w:rsidR="00FA4D20">
        <w:rPr>
          <w:lang w:eastAsia="pl-PL"/>
        </w:rPr>
        <w:t>– powinny być wzięte pod uwagę w bieżących działaniach operacyjnych realizowanych przez lokalne samorządy.</w:t>
      </w:r>
    </w:p>
    <w:sectPr w:rsidR="006D294E" w:rsidSect="009919C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241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1D78" w14:textId="77777777" w:rsidR="00751347" w:rsidRDefault="00751347" w:rsidP="00827B49">
      <w:r>
        <w:separator/>
      </w:r>
    </w:p>
  </w:endnote>
  <w:endnote w:type="continuationSeparator" w:id="0">
    <w:p w14:paraId="00FA45F9" w14:textId="77777777" w:rsidR="00751347" w:rsidRDefault="00751347" w:rsidP="0082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428846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8357BA" w14:textId="457EBFEA" w:rsidR="009919C1" w:rsidRPr="00BD0670" w:rsidRDefault="009919C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2"/>
          </w:rPr>
        </w:pPr>
        <w:r w:rsidRPr="00BD0670">
          <w:rPr>
            <w:sz w:val="22"/>
          </w:rPr>
          <w:fldChar w:fldCharType="begin"/>
        </w:r>
        <w:r w:rsidRPr="00BD0670">
          <w:rPr>
            <w:sz w:val="22"/>
          </w:rPr>
          <w:instrText>PAGE   \* MERGEFORMAT</w:instrText>
        </w:r>
        <w:r w:rsidRPr="00BD0670">
          <w:rPr>
            <w:sz w:val="22"/>
          </w:rPr>
          <w:fldChar w:fldCharType="separate"/>
        </w:r>
        <w:r w:rsidRPr="00BD0670">
          <w:rPr>
            <w:sz w:val="22"/>
          </w:rPr>
          <w:t>2</w:t>
        </w:r>
        <w:r w:rsidRPr="00BD0670">
          <w:rPr>
            <w:sz w:val="22"/>
          </w:rPr>
          <w:fldChar w:fldCharType="end"/>
        </w:r>
        <w:r w:rsidRPr="00BD0670">
          <w:rPr>
            <w:sz w:val="22"/>
          </w:rPr>
          <w:t xml:space="preserve"> | </w:t>
        </w:r>
        <w:r w:rsidRPr="00BD0670">
          <w:rPr>
            <w:color w:val="7F7F7F" w:themeColor="background1" w:themeShade="7F"/>
            <w:spacing w:val="60"/>
            <w:sz w:val="22"/>
          </w:rPr>
          <w:t>Strona</w:t>
        </w:r>
      </w:p>
    </w:sdtContent>
  </w:sdt>
  <w:p w14:paraId="38181076" w14:textId="77777777" w:rsidR="009919C1" w:rsidRDefault="009919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0E59" w14:textId="1516579E" w:rsidR="009919C1" w:rsidRDefault="009919C1" w:rsidP="009919C1">
    <w:pPr>
      <w:pStyle w:val="Stopka"/>
      <w:tabs>
        <w:tab w:val="clear" w:pos="4536"/>
        <w:tab w:val="clear" w:pos="9072"/>
        <w:tab w:val="left" w:pos="3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67A0" w14:textId="77777777" w:rsidR="00751347" w:rsidRDefault="00751347" w:rsidP="00827B49">
      <w:r>
        <w:separator/>
      </w:r>
    </w:p>
  </w:footnote>
  <w:footnote w:type="continuationSeparator" w:id="0">
    <w:p w14:paraId="212F3D67" w14:textId="77777777" w:rsidR="00751347" w:rsidRDefault="00751347" w:rsidP="0082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6E4" w14:textId="02EBED44" w:rsidR="00827B49" w:rsidRDefault="003B239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214D5F" wp14:editId="1DE351CB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578000" cy="10710000"/>
          <wp:effectExtent l="0" t="0" r="444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8ABC" w14:textId="77777777" w:rsidR="00827B49" w:rsidRDefault="003033CA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D0B18F" wp14:editId="66A0F1AA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578000" cy="10710000"/>
          <wp:effectExtent l="0" t="0" r="4445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A24"/>
    <w:multiLevelType w:val="hybridMultilevel"/>
    <w:tmpl w:val="35D20262"/>
    <w:lvl w:ilvl="0" w:tplc="4044C0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37F54"/>
    <w:multiLevelType w:val="multilevel"/>
    <w:tmpl w:val="EACAEA5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2B4163"/>
    <w:multiLevelType w:val="hybridMultilevel"/>
    <w:tmpl w:val="894C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B48"/>
    <w:multiLevelType w:val="hybridMultilevel"/>
    <w:tmpl w:val="894CBB3E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AB93F09"/>
    <w:multiLevelType w:val="hybridMultilevel"/>
    <w:tmpl w:val="894CBB3E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03312349">
    <w:abstractNumId w:val="2"/>
  </w:num>
  <w:num w:numId="2" w16cid:durableId="184947495">
    <w:abstractNumId w:val="1"/>
  </w:num>
  <w:num w:numId="3" w16cid:durableId="776484685">
    <w:abstractNumId w:val="1"/>
  </w:num>
  <w:num w:numId="4" w16cid:durableId="2033920621">
    <w:abstractNumId w:val="4"/>
  </w:num>
  <w:num w:numId="5" w16cid:durableId="1653176495">
    <w:abstractNumId w:val="0"/>
  </w:num>
  <w:num w:numId="6" w16cid:durableId="163711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49"/>
    <w:rsid w:val="000F4192"/>
    <w:rsid w:val="001565DE"/>
    <w:rsid w:val="001C045C"/>
    <w:rsid w:val="001D6CFA"/>
    <w:rsid w:val="002D5CB0"/>
    <w:rsid w:val="003033CA"/>
    <w:rsid w:val="00314826"/>
    <w:rsid w:val="00397BF8"/>
    <w:rsid w:val="003B239E"/>
    <w:rsid w:val="00437A45"/>
    <w:rsid w:val="004E22DA"/>
    <w:rsid w:val="00560541"/>
    <w:rsid w:val="00590763"/>
    <w:rsid w:val="005D2522"/>
    <w:rsid w:val="006D294E"/>
    <w:rsid w:val="00723593"/>
    <w:rsid w:val="00751347"/>
    <w:rsid w:val="00801BC5"/>
    <w:rsid w:val="008066A8"/>
    <w:rsid w:val="00827B49"/>
    <w:rsid w:val="008C4C74"/>
    <w:rsid w:val="00980632"/>
    <w:rsid w:val="009919C1"/>
    <w:rsid w:val="009B4501"/>
    <w:rsid w:val="009C0028"/>
    <w:rsid w:val="00BD0670"/>
    <w:rsid w:val="00C662D7"/>
    <w:rsid w:val="00D338E5"/>
    <w:rsid w:val="00D96136"/>
    <w:rsid w:val="00E53DD5"/>
    <w:rsid w:val="00F517A3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5E8B"/>
  <w15:chartTrackingRefBased/>
  <w15:docId w15:val="{3E09230E-0D39-234C-BB76-A8FC599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01BC5"/>
    <w:pPr>
      <w:keepNext/>
      <w:keepLines/>
      <w:pageBreakBefore/>
      <w:numPr>
        <w:numId w:val="2"/>
      </w:numPr>
      <w:spacing w:before="480" w:after="1200" w:line="276" w:lineRule="auto"/>
      <w:outlineLvl w:val="0"/>
    </w:pPr>
    <w:rPr>
      <w:rFonts w:ascii="Calibri" w:eastAsiaTheme="majorEastAsia" w:hAnsi="Calibri" w:cstheme="majorBidi"/>
      <w:b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01BC5"/>
    <w:pPr>
      <w:keepNext/>
      <w:keepLines/>
      <w:numPr>
        <w:ilvl w:val="1"/>
        <w:numId w:val="2"/>
      </w:numPr>
      <w:spacing w:before="720" w:after="240" w:line="276" w:lineRule="auto"/>
      <w:outlineLvl w:val="1"/>
    </w:pPr>
    <w:rPr>
      <w:rFonts w:ascii="Calibri" w:eastAsiaTheme="majorEastAsia" w:hAnsi="Calibri" w:cstheme="majorBidi"/>
      <w:b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01BC5"/>
    <w:pPr>
      <w:keepNext/>
      <w:keepLines/>
      <w:numPr>
        <w:ilvl w:val="2"/>
        <w:numId w:val="2"/>
      </w:numPr>
      <w:spacing w:before="120" w:after="120" w:line="276" w:lineRule="auto"/>
      <w:outlineLvl w:val="2"/>
    </w:pPr>
    <w:rPr>
      <w:rFonts w:ascii="Calibri" w:eastAsiaTheme="majorEastAsia" w:hAnsi="Calibri" w:cstheme="majorBidi"/>
      <w:b/>
      <w:noProof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801BC5"/>
    <w:pPr>
      <w:keepNext/>
      <w:keepLines/>
      <w:numPr>
        <w:ilvl w:val="3"/>
        <w:numId w:val="2"/>
      </w:numPr>
      <w:spacing w:before="40" w:line="276" w:lineRule="auto"/>
      <w:outlineLvl w:val="3"/>
    </w:pPr>
    <w:rPr>
      <w:rFonts w:ascii="Calibri" w:eastAsiaTheme="majorEastAsia" w:hAnsi="Calibri" w:cstheme="majorBidi"/>
      <w:b/>
      <w:iCs/>
      <w:noProof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B49"/>
  </w:style>
  <w:style w:type="paragraph" w:styleId="Stopka">
    <w:name w:val="footer"/>
    <w:basedOn w:val="Normalny"/>
    <w:link w:val="Stopka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B49"/>
  </w:style>
  <w:style w:type="paragraph" w:styleId="Bezodstpw">
    <w:name w:val="No Spacing"/>
    <w:link w:val="BezodstpwZnak"/>
    <w:uiPriority w:val="1"/>
    <w:qFormat/>
    <w:rsid w:val="00827B49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7B49"/>
    <w:rPr>
      <w:rFonts w:eastAsiaTheme="minorEastAsia"/>
      <w:sz w:val="22"/>
      <w:szCs w:val="22"/>
      <w:lang w:val="en-US" w:eastAsia="zh-CN"/>
    </w:rPr>
  </w:style>
  <w:style w:type="paragraph" w:customStyle="1" w:styleId="Default">
    <w:name w:val="Default"/>
    <w:rsid w:val="001565DE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paragraph" w:styleId="Akapitzlist">
    <w:name w:val="List Paragraph"/>
    <w:basedOn w:val="Normalny"/>
    <w:uiPriority w:val="34"/>
    <w:qFormat/>
    <w:rsid w:val="00801B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01BC5"/>
    <w:rPr>
      <w:rFonts w:ascii="Calibri" w:eastAsiaTheme="majorEastAsia" w:hAnsi="Calibri" w:cstheme="majorBidi"/>
      <w:b/>
      <w:sz w:val="48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801BC5"/>
    <w:rPr>
      <w:rFonts w:ascii="Calibri" w:eastAsiaTheme="majorEastAsia" w:hAnsi="Calibri" w:cstheme="majorBidi"/>
      <w:b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801BC5"/>
    <w:rPr>
      <w:rFonts w:ascii="Calibri" w:eastAsiaTheme="majorEastAsia" w:hAnsi="Calibri" w:cstheme="majorBidi"/>
      <w:b/>
      <w:noProof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01BC5"/>
    <w:rPr>
      <w:rFonts w:ascii="Calibri" w:eastAsiaTheme="majorEastAsia" w:hAnsi="Calibri" w:cstheme="majorBidi"/>
      <w:b/>
      <w:iCs/>
      <w:noProof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CEC128513E468D693A444DC5A13C" ma:contentTypeVersion="16" ma:contentTypeDescription="Utwórz nowy dokument." ma:contentTypeScope="" ma:versionID="2094006da1281bf6bc9dca633b3eebfa">
  <xsd:schema xmlns:xsd="http://www.w3.org/2001/XMLSchema" xmlns:xs="http://www.w3.org/2001/XMLSchema" xmlns:p="http://schemas.microsoft.com/office/2006/metadata/properties" xmlns:ns2="e8befe75-3807-4551-8189-c773152414b1" xmlns:ns3="6c81c184-838d-4944-b958-9173f85e406b" targetNamespace="http://schemas.microsoft.com/office/2006/metadata/properties" ma:root="true" ma:fieldsID="dc0aa666fbbf5629ef30d8dec653524f" ns2:_="" ns3:_="">
    <xsd:import namespace="e8befe75-3807-4551-8189-c773152414b1"/>
    <xsd:import namespace="6c81c184-838d-4944-b958-9173f85e4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fe75-3807-4551-8189-c7731524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c184-838d-4944-b958-9173f85e4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4533f-91b1-4f20-978e-f0369a2657a9}" ma:internalName="TaxCatchAll" ma:showField="CatchAllData" ma:web="6c81c184-838d-4944-b958-9173f85e4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efe75-3807-4551-8189-c773152414b1">
      <Terms xmlns="http://schemas.microsoft.com/office/infopath/2007/PartnerControls"/>
    </lcf76f155ced4ddcb4097134ff3c332f>
    <TaxCatchAll xmlns="6c81c184-838d-4944-b958-9173f85e406b" xsi:nil="true"/>
  </documentManagement>
</p:properties>
</file>

<file path=customXml/itemProps1.xml><?xml version="1.0" encoding="utf-8"?>
<ds:datastoreItem xmlns:ds="http://schemas.openxmlformats.org/officeDocument/2006/customXml" ds:itemID="{D991437F-D565-47B5-BA3E-8F392F24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fe75-3807-4551-8189-c773152414b1"/>
    <ds:schemaRef ds:uri="6c81c184-838d-4944-b958-9173f85e4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BFBDA-1218-4BF7-AF27-58424F58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15DB7-E277-40CB-A31F-35F785445D02}">
  <ds:schemaRefs>
    <ds:schemaRef ds:uri="http://schemas.microsoft.com/office/2006/metadata/properties"/>
    <ds:schemaRef ds:uri="http://schemas.microsoft.com/office/infopath/2007/PartnerControls"/>
    <ds:schemaRef ds:uri="e8befe75-3807-4551-8189-c773152414b1"/>
    <ds:schemaRef ds:uri="6c81c184-838d-4944-b958-9173f85e4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cp:keywords/>
  <dc:description/>
  <cp:lastModifiedBy>Maleszyk Piotr</cp:lastModifiedBy>
  <cp:revision>4</cp:revision>
  <dcterms:created xsi:type="dcterms:W3CDTF">2023-03-13T09:29:00Z</dcterms:created>
  <dcterms:modified xsi:type="dcterms:W3CDTF">2023-03-16T11:04:00Z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0x0101004C21CEC128513E468D693A444DC5A13C</vt:lpwstr>
  </property>
</Properties>
</file>