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FB0" w:rsidRPr="00317FB0" w:rsidRDefault="00317FB0" w:rsidP="00317FB0">
      <w:pPr>
        <w:shd w:val="clear" w:color="auto" w:fill="FFFFFF"/>
        <w:spacing w:line="360" w:lineRule="atLeast"/>
        <w:jc w:val="center"/>
        <w:outlineLvl w:val="1"/>
        <w:rPr>
          <w:b/>
          <w:bCs/>
          <w:color w:val="333333"/>
        </w:rPr>
      </w:pPr>
      <w:bookmarkStart w:id="0" w:name="_GoBack"/>
      <w:bookmarkEnd w:id="0"/>
      <w:r w:rsidRPr="00317FB0">
        <w:rPr>
          <w:b/>
          <w:bCs/>
          <w:color w:val="333333"/>
        </w:rPr>
        <w:t xml:space="preserve">UCHWAŁA Nr </w:t>
      </w:r>
      <w:r>
        <w:rPr>
          <w:b/>
          <w:bCs/>
          <w:color w:val="333333"/>
        </w:rPr>
        <w:t>….</w:t>
      </w:r>
      <w:r w:rsidRPr="00317FB0">
        <w:rPr>
          <w:b/>
          <w:bCs/>
          <w:color w:val="333333"/>
        </w:rPr>
        <w:t>/</w:t>
      </w:r>
      <w:r>
        <w:rPr>
          <w:b/>
          <w:bCs/>
          <w:color w:val="333333"/>
        </w:rPr>
        <w:t>…../22</w:t>
      </w:r>
    </w:p>
    <w:p w:rsidR="00317FB0" w:rsidRPr="00317FB0" w:rsidRDefault="00317FB0" w:rsidP="00317FB0">
      <w:pPr>
        <w:shd w:val="clear" w:color="auto" w:fill="FFFFFF"/>
        <w:spacing w:line="360" w:lineRule="atLeast"/>
        <w:jc w:val="center"/>
        <w:outlineLvl w:val="1"/>
        <w:rPr>
          <w:b/>
          <w:bCs/>
          <w:color w:val="333333"/>
        </w:rPr>
      </w:pPr>
      <w:r w:rsidRPr="00317FB0">
        <w:rPr>
          <w:b/>
          <w:bCs/>
          <w:color w:val="333333"/>
        </w:rPr>
        <w:t xml:space="preserve">RADY </w:t>
      </w:r>
      <w:r>
        <w:rPr>
          <w:b/>
          <w:bCs/>
          <w:color w:val="333333"/>
        </w:rPr>
        <w:t>GMINY CIECHANÓW</w:t>
      </w:r>
    </w:p>
    <w:p w:rsidR="00317FB0" w:rsidRPr="00317FB0" w:rsidRDefault="00317FB0" w:rsidP="00317FB0">
      <w:pPr>
        <w:shd w:val="clear" w:color="auto" w:fill="FFFFFF"/>
        <w:jc w:val="center"/>
        <w:outlineLvl w:val="1"/>
        <w:rPr>
          <w:color w:val="333333"/>
        </w:rPr>
      </w:pPr>
      <w:r w:rsidRPr="00317FB0">
        <w:rPr>
          <w:color w:val="333333"/>
        </w:rPr>
        <w:t xml:space="preserve">z dnia </w:t>
      </w:r>
      <w:r>
        <w:rPr>
          <w:color w:val="333333"/>
        </w:rPr>
        <w:t>21 listopada</w:t>
      </w:r>
      <w:r w:rsidRPr="00317FB0">
        <w:rPr>
          <w:color w:val="333333"/>
        </w:rPr>
        <w:t xml:space="preserve"> 202</w:t>
      </w:r>
      <w:r>
        <w:rPr>
          <w:color w:val="333333"/>
        </w:rPr>
        <w:t>2</w:t>
      </w:r>
      <w:r w:rsidRPr="00317FB0">
        <w:rPr>
          <w:color w:val="333333"/>
        </w:rPr>
        <w:t xml:space="preserve"> r.</w:t>
      </w:r>
    </w:p>
    <w:p w:rsidR="00317FB0" w:rsidRDefault="00317FB0" w:rsidP="00317FB0">
      <w:pPr>
        <w:shd w:val="clear" w:color="auto" w:fill="FFFFFF"/>
        <w:spacing w:line="396" w:lineRule="atLeast"/>
        <w:jc w:val="center"/>
        <w:outlineLvl w:val="1"/>
        <w:rPr>
          <w:b/>
          <w:bCs/>
          <w:color w:val="333333"/>
        </w:rPr>
      </w:pPr>
      <w:r w:rsidRPr="00317FB0">
        <w:rPr>
          <w:b/>
          <w:bCs/>
          <w:color w:val="333333"/>
        </w:rPr>
        <w:t>w sprawie ustalenia stawek</w:t>
      </w:r>
      <w:r>
        <w:rPr>
          <w:b/>
          <w:bCs/>
          <w:color w:val="333333"/>
        </w:rPr>
        <w:t xml:space="preserve"> procentowych</w:t>
      </w:r>
      <w:r w:rsidRPr="00317FB0">
        <w:rPr>
          <w:b/>
          <w:bCs/>
          <w:color w:val="333333"/>
        </w:rPr>
        <w:t xml:space="preserve"> opłaty </w:t>
      </w:r>
      <w:proofErr w:type="spellStart"/>
      <w:r w:rsidRPr="00317FB0">
        <w:rPr>
          <w:b/>
          <w:bCs/>
          <w:color w:val="333333"/>
        </w:rPr>
        <w:t>adiacenckiej</w:t>
      </w:r>
      <w:proofErr w:type="spellEnd"/>
    </w:p>
    <w:p w:rsidR="00317FB0" w:rsidRPr="00317FB0" w:rsidRDefault="00317FB0" w:rsidP="00317FB0">
      <w:pPr>
        <w:shd w:val="clear" w:color="auto" w:fill="FFFFFF"/>
        <w:spacing w:line="396" w:lineRule="atLeast"/>
        <w:jc w:val="center"/>
        <w:outlineLvl w:val="1"/>
        <w:rPr>
          <w:b/>
          <w:bCs/>
          <w:color w:val="333333"/>
        </w:rPr>
      </w:pPr>
    </w:p>
    <w:p w:rsidR="00317FB0" w:rsidRPr="00317FB0" w:rsidRDefault="00317FB0" w:rsidP="00317FB0">
      <w:pPr>
        <w:shd w:val="clear" w:color="auto" w:fill="FFFFFF"/>
        <w:ind w:firstLine="708"/>
        <w:rPr>
          <w:color w:val="333333"/>
        </w:rPr>
      </w:pPr>
      <w:r w:rsidRPr="00317FB0">
        <w:rPr>
          <w:color w:val="333333"/>
        </w:rPr>
        <w:t xml:space="preserve">Na podstawie </w:t>
      </w:r>
      <w:hyperlink r:id="rId4" w:anchor="/document/16793509?unitId=art(18)ust(2)pkt(8)&amp;cm=DOCUMENT" w:history="1">
        <w:r w:rsidRPr="00317FB0">
          <w:rPr>
            <w:color w:val="000000" w:themeColor="text1"/>
          </w:rPr>
          <w:t>art. 18 ust. 2 pkt 8</w:t>
        </w:r>
      </w:hyperlink>
      <w:r w:rsidRPr="00317FB0">
        <w:rPr>
          <w:b/>
          <w:color w:val="333333"/>
        </w:rPr>
        <w:t xml:space="preserve"> </w:t>
      </w:r>
      <w:r w:rsidRPr="00317FB0">
        <w:rPr>
          <w:color w:val="333333"/>
        </w:rPr>
        <w:t>ustawy z dnia 8 marca 1990 r. o sa</w:t>
      </w:r>
      <w:r>
        <w:rPr>
          <w:color w:val="333333"/>
        </w:rPr>
        <w:t>morządzie gminnym (Dz. U. z 2022</w:t>
      </w:r>
      <w:r w:rsidRPr="00317FB0">
        <w:rPr>
          <w:color w:val="333333"/>
        </w:rPr>
        <w:t xml:space="preserve"> r. poz. </w:t>
      </w:r>
      <w:r>
        <w:rPr>
          <w:color w:val="333333"/>
        </w:rPr>
        <w:t xml:space="preserve">559 z </w:t>
      </w:r>
      <w:proofErr w:type="spellStart"/>
      <w:r>
        <w:rPr>
          <w:color w:val="333333"/>
        </w:rPr>
        <w:t>późn</w:t>
      </w:r>
      <w:proofErr w:type="spellEnd"/>
      <w:r>
        <w:rPr>
          <w:color w:val="333333"/>
        </w:rPr>
        <w:t>. zm.</w:t>
      </w:r>
      <w:r w:rsidRPr="00317FB0">
        <w:rPr>
          <w:color w:val="333333"/>
        </w:rPr>
        <w:t xml:space="preserve">) </w:t>
      </w:r>
      <w:r w:rsidRPr="00317FB0">
        <w:rPr>
          <w:color w:val="000000" w:themeColor="text1"/>
        </w:rPr>
        <w:t xml:space="preserve">oraz </w:t>
      </w:r>
      <w:hyperlink r:id="rId5" w:anchor="/document/16798871?unitId=art(98(a))ust(1)&amp;cm=DOCUMENT" w:history="1">
        <w:r w:rsidRPr="00317FB0">
          <w:rPr>
            <w:color w:val="000000" w:themeColor="text1"/>
          </w:rPr>
          <w:t>art. 98a ust. 1</w:t>
        </w:r>
      </w:hyperlink>
      <w:r w:rsidRPr="00317FB0">
        <w:rPr>
          <w:color w:val="000000" w:themeColor="text1"/>
        </w:rPr>
        <w:t xml:space="preserve">, </w:t>
      </w:r>
      <w:hyperlink r:id="rId6" w:anchor="/document/16798871?unitId=art(146)ust(2)&amp;cm=DOCUMENT" w:history="1">
        <w:r w:rsidRPr="00317FB0">
          <w:rPr>
            <w:color w:val="000000" w:themeColor="text1"/>
          </w:rPr>
          <w:t xml:space="preserve">art. 146 ust. </w:t>
        </w:r>
      </w:hyperlink>
      <w:r w:rsidR="00A32FEC">
        <w:rPr>
          <w:color w:val="000000" w:themeColor="text1"/>
        </w:rPr>
        <w:t>1</w:t>
      </w:r>
      <w:r w:rsidR="00F0522C">
        <w:rPr>
          <w:color w:val="000000" w:themeColor="text1"/>
        </w:rPr>
        <w:t>-2</w:t>
      </w:r>
      <w:r w:rsidRPr="00317FB0">
        <w:rPr>
          <w:color w:val="000000" w:themeColor="text1"/>
        </w:rPr>
        <w:t xml:space="preserve"> </w:t>
      </w:r>
      <w:r w:rsidRPr="00317FB0">
        <w:rPr>
          <w:color w:val="333333"/>
        </w:rPr>
        <w:t>ustawy z dnia 21 sierpnia 1997 r. o gospodarce nieruchomościami (Dz. U. z 202</w:t>
      </w:r>
      <w:r>
        <w:rPr>
          <w:color w:val="333333"/>
        </w:rPr>
        <w:t>1</w:t>
      </w:r>
      <w:r w:rsidRPr="00317FB0">
        <w:rPr>
          <w:color w:val="333333"/>
        </w:rPr>
        <w:t xml:space="preserve"> r. poz. </w:t>
      </w:r>
      <w:r>
        <w:rPr>
          <w:color w:val="333333"/>
        </w:rPr>
        <w:t xml:space="preserve">1899 z </w:t>
      </w:r>
      <w:proofErr w:type="spellStart"/>
      <w:r>
        <w:rPr>
          <w:color w:val="333333"/>
        </w:rPr>
        <w:t>późn</w:t>
      </w:r>
      <w:proofErr w:type="spellEnd"/>
      <w:r>
        <w:rPr>
          <w:color w:val="333333"/>
        </w:rPr>
        <w:t>. zm.</w:t>
      </w:r>
      <w:r w:rsidRPr="00317FB0">
        <w:rPr>
          <w:color w:val="333333"/>
        </w:rPr>
        <w:t xml:space="preserve">), Rada </w:t>
      </w:r>
      <w:r>
        <w:rPr>
          <w:color w:val="333333"/>
        </w:rPr>
        <w:t>Gminy Ciechanów</w:t>
      </w:r>
      <w:r w:rsidRPr="00317FB0">
        <w:rPr>
          <w:color w:val="333333"/>
        </w:rPr>
        <w:t xml:space="preserve"> uchwala, co następuje:</w:t>
      </w:r>
    </w:p>
    <w:p w:rsidR="00317FB0" w:rsidRPr="00317FB0" w:rsidRDefault="00317FB0" w:rsidP="00317FB0">
      <w:pPr>
        <w:shd w:val="clear" w:color="auto" w:fill="FFFFFF"/>
        <w:spacing w:line="360" w:lineRule="atLeast"/>
        <w:jc w:val="center"/>
        <w:rPr>
          <w:b/>
          <w:bCs/>
          <w:color w:val="333333"/>
        </w:rPr>
      </w:pPr>
      <w:r w:rsidRPr="00317FB0">
        <w:rPr>
          <w:b/>
          <w:bCs/>
          <w:color w:val="333333"/>
        </w:rPr>
        <w:t>§  1.</w:t>
      </w:r>
    </w:p>
    <w:p w:rsidR="00317FB0" w:rsidRPr="00317FB0" w:rsidRDefault="00317FB0" w:rsidP="00317FB0">
      <w:pPr>
        <w:shd w:val="clear" w:color="auto" w:fill="FFFFFF"/>
        <w:spacing w:line="360" w:lineRule="atLeast"/>
        <w:rPr>
          <w:color w:val="333333"/>
        </w:rPr>
      </w:pPr>
      <w:r>
        <w:rPr>
          <w:color w:val="333333"/>
        </w:rPr>
        <w:t>Ustala się</w:t>
      </w:r>
      <w:r w:rsidRPr="00317FB0">
        <w:rPr>
          <w:color w:val="333333"/>
        </w:rPr>
        <w:t xml:space="preserve"> stawkę procentową opłaty </w:t>
      </w:r>
      <w:proofErr w:type="spellStart"/>
      <w:r w:rsidRPr="00317FB0">
        <w:rPr>
          <w:color w:val="333333"/>
        </w:rPr>
        <w:t>adiacenckiej</w:t>
      </w:r>
      <w:proofErr w:type="spellEnd"/>
      <w:r w:rsidRPr="00317FB0">
        <w:rPr>
          <w:color w:val="333333"/>
        </w:rPr>
        <w:t xml:space="preserve"> z tytułu wzrostu wartości nieruchomości w wyniku jej podziału dokonanego na wniosek właściciela lub użytkownika wieczystego, który wniósł opłaty roczne za cały okres użytkowania tego prawa, w wysokości </w:t>
      </w:r>
      <w:r w:rsidR="00D7049A">
        <w:rPr>
          <w:color w:val="333333"/>
        </w:rPr>
        <w:t>25</w:t>
      </w:r>
      <w:r w:rsidRPr="00317FB0">
        <w:rPr>
          <w:color w:val="333333"/>
        </w:rPr>
        <w:t>% różnicy wartości nieruchomości.</w:t>
      </w:r>
    </w:p>
    <w:p w:rsidR="00317FB0" w:rsidRPr="00317FB0" w:rsidRDefault="00317FB0" w:rsidP="00317FB0">
      <w:pPr>
        <w:shd w:val="clear" w:color="auto" w:fill="FFFFFF"/>
        <w:spacing w:line="360" w:lineRule="atLeast"/>
        <w:jc w:val="center"/>
        <w:rPr>
          <w:b/>
          <w:bCs/>
          <w:color w:val="333333"/>
        </w:rPr>
      </w:pPr>
      <w:r w:rsidRPr="00317FB0">
        <w:rPr>
          <w:b/>
          <w:bCs/>
          <w:color w:val="333333"/>
        </w:rPr>
        <w:t>§  2.</w:t>
      </w:r>
    </w:p>
    <w:p w:rsidR="00317FB0" w:rsidRPr="00317FB0" w:rsidRDefault="00317FB0" w:rsidP="00317FB0">
      <w:pPr>
        <w:shd w:val="clear" w:color="auto" w:fill="FFFFFF"/>
        <w:spacing w:line="360" w:lineRule="atLeast"/>
        <w:rPr>
          <w:color w:val="333333"/>
        </w:rPr>
      </w:pPr>
      <w:r w:rsidRPr="00317FB0">
        <w:rPr>
          <w:color w:val="333333"/>
        </w:rPr>
        <w:t>Usta</w:t>
      </w:r>
      <w:r>
        <w:rPr>
          <w:color w:val="333333"/>
        </w:rPr>
        <w:t>la się</w:t>
      </w:r>
      <w:r w:rsidRPr="00317FB0">
        <w:rPr>
          <w:color w:val="333333"/>
        </w:rPr>
        <w:t xml:space="preserve"> stawkę procentową opłaty </w:t>
      </w:r>
      <w:proofErr w:type="spellStart"/>
      <w:r w:rsidRPr="00317FB0">
        <w:rPr>
          <w:color w:val="333333"/>
        </w:rPr>
        <w:t>adiacenckiej</w:t>
      </w:r>
      <w:proofErr w:type="spellEnd"/>
      <w:r w:rsidRPr="00317FB0">
        <w:rPr>
          <w:color w:val="333333"/>
        </w:rPr>
        <w:t xml:space="preserve"> z tytułu wzrostu wartości nieruchomości spowodowanego wybudowaniem urządzeń infrastruktury technicznej w wysokości 3</w:t>
      </w:r>
      <w:r w:rsidR="00F0522C">
        <w:rPr>
          <w:color w:val="333333"/>
        </w:rPr>
        <w:t>0</w:t>
      </w:r>
      <w:r w:rsidRPr="00317FB0">
        <w:rPr>
          <w:color w:val="333333"/>
        </w:rPr>
        <w:t>% różnicy między wartością, jaką nieruchomość miała przed wybudowaniem urządzeń infrastruktury technicznej, a wartością, jaką nieruchomość ma po ich wybudowaniu.</w:t>
      </w:r>
    </w:p>
    <w:p w:rsidR="00317FB0" w:rsidRPr="00317FB0" w:rsidRDefault="00317FB0" w:rsidP="00317FB0">
      <w:pPr>
        <w:shd w:val="clear" w:color="auto" w:fill="FFFFFF"/>
        <w:spacing w:line="360" w:lineRule="atLeast"/>
        <w:jc w:val="center"/>
        <w:rPr>
          <w:b/>
          <w:bCs/>
          <w:color w:val="333333"/>
        </w:rPr>
      </w:pPr>
      <w:r w:rsidRPr="00317FB0">
        <w:rPr>
          <w:b/>
          <w:bCs/>
          <w:color w:val="333333"/>
        </w:rPr>
        <w:t>§  3.</w:t>
      </w:r>
    </w:p>
    <w:p w:rsidR="00317FB0" w:rsidRDefault="00317FB0" w:rsidP="00317FB0">
      <w:pPr>
        <w:shd w:val="clear" w:color="auto" w:fill="FFFFFF"/>
        <w:spacing w:line="360" w:lineRule="atLeast"/>
        <w:rPr>
          <w:color w:val="333333"/>
        </w:rPr>
      </w:pPr>
      <w:r w:rsidRPr="00317FB0">
        <w:rPr>
          <w:color w:val="333333"/>
        </w:rPr>
        <w:t xml:space="preserve">Traci moc </w:t>
      </w:r>
      <w:hyperlink r:id="rId7" w:anchor="/document/50605768?cm=DOCUMENT" w:history="1">
        <w:r w:rsidRPr="00317FB0">
          <w:rPr>
            <w:color w:val="000000" w:themeColor="text1"/>
          </w:rPr>
          <w:t>uchwała</w:t>
        </w:r>
      </w:hyperlink>
      <w:r>
        <w:rPr>
          <w:color w:val="333333"/>
        </w:rPr>
        <w:t xml:space="preserve"> N</w:t>
      </w:r>
      <w:r w:rsidRPr="00317FB0">
        <w:rPr>
          <w:color w:val="333333"/>
        </w:rPr>
        <w:t xml:space="preserve">r </w:t>
      </w:r>
      <w:r>
        <w:rPr>
          <w:color w:val="333333"/>
        </w:rPr>
        <w:t>XXIX/180/06</w:t>
      </w:r>
      <w:r w:rsidRPr="00317FB0">
        <w:rPr>
          <w:color w:val="333333"/>
        </w:rPr>
        <w:t xml:space="preserve"> Rady </w:t>
      </w:r>
      <w:r>
        <w:rPr>
          <w:color w:val="333333"/>
        </w:rPr>
        <w:t>Gminy w Ciechanowie</w:t>
      </w:r>
      <w:r w:rsidRPr="00317FB0">
        <w:rPr>
          <w:color w:val="333333"/>
        </w:rPr>
        <w:t xml:space="preserve"> z dnia </w:t>
      </w:r>
      <w:r>
        <w:rPr>
          <w:color w:val="333333"/>
        </w:rPr>
        <w:t xml:space="preserve">24 </w:t>
      </w:r>
      <w:r w:rsidRPr="00317FB0">
        <w:rPr>
          <w:color w:val="333333"/>
        </w:rPr>
        <w:t>kwietnia 20</w:t>
      </w:r>
      <w:r>
        <w:rPr>
          <w:color w:val="333333"/>
        </w:rPr>
        <w:t>06</w:t>
      </w:r>
      <w:r w:rsidRPr="00317FB0">
        <w:rPr>
          <w:color w:val="333333"/>
        </w:rPr>
        <w:t xml:space="preserve"> r. w sprawie opłaty </w:t>
      </w:r>
      <w:proofErr w:type="spellStart"/>
      <w:r w:rsidRPr="00317FB0">
        <w:rPr>
          <w:color w:val="333333"/>
        </w:rPr>
        <w:t>adiacenckiej</w:t>
      </w:r>
      <w:proofErr w:type="spellEnd"/>
      <w:r>
        <w:rPr>
          <w:color w:val="333333"/>
        </w:rPr>
        <w:t>.</w:t>
      </w:r>
      <w:r w:rsidRPr="00317FB0">
        <w:rPr>
          <w:color w:val="333333"/>
        </w:rPr>
        <w:t xml:space="preserve"> </w:t>
      </w:r>
    </w:p>
    <w:p w:rsidR="00317FB0" w:rsidRPr="00317FB0" w:rsidRDefault="00317FB0" w:rsidP="00317FB0">
      <w:pPr>
        <w:shd w:val="clear" w:color="auto" w:fill="FFFFFF"/>
        <w:spacing w:line="360" w:lineRule="atLeast"/>
        <w:jc w:val="center"/>
        <w:rPr>
          <w:b/>
          <w:bCs/>
          <w:color w:val="333333"/>
        </w:rPr>
      </w:pPr>
      <w:r w:rsidRPr="00317FB0">
        <w:rPr>
          <w:b/>
          <w:bCs/>
          <w:color w:val="333333"/>
        </w:rPr>
        <w:t>§  4.</w:t>
      </w:r>
    </w:p>
    <w:p w:rsidR="00317FB0" w:rsidRPr="00317FB0" w:rsidRDefault="00317FB0" w:rsidP="00317FB0">
      <w:pPr>
        <w:shd w:val="clear" w:color="auto" w:fill="FFFFFF"/>
        <w:spacing w:line="360" w:lineRule="atLeast"/>
        <w:rPr>
          <w:color w:val="333333"/>
        </w:rPr>
      </w:pPr>
      <w:r w:rsidRPr="00317FB0">
        <w:rPr>
          <w:color w:val="333333"/>
        </w:rPr>
        <w:t xml:space="preserve">Wykonanie uchwały powierza się </w:t>
      </w:r>
      <w:r>
        <w:rPr>
          <w:color w:val="333333"/>
        </w:rPr>
        <w:t>Wójtowi Gminy</w:t>
      </w:r>
      <w:r w:rsidRPr="00317FB0">
        <w:rPr>
          <w:color w:val="333333"/>
        </w:rPr>
        <w:t>.</w:t>
      </w:r>
    </w:p>
    <w:p w:rsidR="00317FB0" w:rsidRPr="00317FB0" w:rsidRDefault="00317FB0" w:rsidP="00317FB0">
      <w:pPr>
        <w:shd w:val="clear" w:color="auto" w:fill="FFFFFF"/>
        <w:spacing w:line="360" w:lineRule="atLeast"/>
        <w:jc w:val="center"/>
        <w:rPr>
          <w:b/>
          <w:bCs/>
          <w:color w:val="333333"/>
        </w:rPr>
      </w:pPr>
      <w:r w:rsidRPr="00317FB0">
        <w:rPr>
          <w:b/>
          <w:bCs/>
          <w:color w:val="333333"/>
        </w:rPr>
        <w:t>§  5.</w:t>
      </w:r>
    </w:p>
    <w:p w:rsidR="00317FB0" w:rsidRPr="00317FB0" w:rsidRDefault="00317FB0" w:rsidP="00317FB0">
      <w:pPr>
        <w:shd w:val="clear" w:color="auto" w:fill="FFFFFF"/>
        <w:spacing w:line="360" w:lineRule="atLeast"/>
        <w:rPr>
          <w:color w:val="333333"/>
        </w:rPr>
      </w:pPr>
      <w:r w:rsidRPr="00317FB0">
        <w:rPr>
          <w:color w:val="333333"/>
        </w:rPr>
        <w:t xml:space="preserve">Uchwała wchodzi w życie po upływie 14 dni od dnia ogłoszenia w Dzienniku Urzędowym Województwa </w:t>
      </w:r>
      <w:r>
        <w:rPr>
          <w:color w:val="333333"/>
        </w:rPr>
        <w:t>Mazowieckiego</w:t>
      </w:r>
      <w:r w:rsidRPr="00317FB0">
        <w:rPr>
          <w:color w:val="333333"/>
        </w:rPr>
        <w:t>.</w:t>
      </w:r>
    </w:p>
    <w:p w:rsidR="00317FB0" w:rsidRDefault="00317FB0" w:rsidP="00317FB0"/>
    <w:p w:rsidR="00317FB0" w:rsidRDefault="00317FB0" w:rsidP="00317FB0"/>
    <w:p w:rsidR="00317FB0" w:rsidRDefault="00317FB0" w:rsidP="00317FB0"/>
    <w:p w:rsidR="00D7049A" w:rsidRDefault="00D7049A" w:rsidP="00317FB0"/>
    <w:p w:rsidR="00D7049A" w:rsidRDefault="00D7049A" w:rsidP="00317FB0"/>
    <w:p w:rsidR="00D7049A" w:rsidRDefault="00D7049A" w:rsidP="00317FB0"/>
    <w:p w:rsidR="00D7049A" w:rsidRDefault="00D7049A" w:rsidP="00317FB0"/>
    <w:p w:rsidR="00D7049A" w:rsidRDefault="00D7049A" w:rsidP="00317FB0"/>
    <w:p w:rsidR="00D7049A" w:rsidRDefault="00D7049A" w:rsidP="00317FB0"/>
    <w:p w:rsidR="00D7049A" w:rsidRDefault="00D7049A" w:rsidP="00317FB0"/>
    <w:p w:rsidR="00D7049A" w:rsidRDefault="00D7049A" w:rsidP="00317FB0"/>
    <w:p w:rsidR="00D7049A" w:rsidRDefault="00D7049A" w:rsidP="00317FB0"/>
    <w:p w:rsidR="00D7049A" w:rsidRDefault="00D7049A" w:rsidP="00317FB0"/>
    <w:p w:rsidR="00D7049A" w:rsidRDefault="00D7049A" w:rsidP="00317FB0"/>
    <w:p w:rsidR="00D7049A" w:rsidRDefault="00D7049A" w:rsidP="00317FB0"/>
    <w:p w:rsidR="00D7049A" w:rsidRDefault="00D7049A" w:rsidP="00317FB0"/>
    <w:p w:rsidR="00D7049A" w:rsidRPr="00D7049A" w:rsidRDefault="00D7049A" w:rsidP="00D7049A">
      <w:pPr>
        <w:jc w:val="center"/>
        <w:rPr>
          <w:b/>
        </w:rPr>
      </w:pPr>
      <w:r w:rsidRPr="00D7049A">
        <w:rPr>
          <w:b/>
        </w:rPr>
        <w:lastRenderedPageBreak/>
        <w:t>Uzasadnienie</w:t>
      </w:r>
    </w:p>
    <w:p w:rsidR="00A32FEC" w:rsidRDefault="00D7049A" w:rsidP="00F0522C">
      <w:pPr>
        <w:spacing w:line="360" w:lineRule="auto"/>
        <w:ind w:firstLine="709"/>
      </w:pPr>
      <w:r>
        <w:t xml:space="preserve">Opłata </w:t>
      </w:r>
      <w:proofErr w:type="spellStart"/>
      <w:r>
        <w:t>adiacencka</w:t>
      </w:r>
      <w:proofErr w:type="spellEnd"/>
      <w:r>
        <w:t xml:space="preserve"> jest daniną publiczną na rzecz gminy, uregulowaną w przepisach ustawy z dnia 21 sierpnia 1997 r. o gospodarce nieruchomościami. Polega ona na nakładaniu obowiązku na właścicieli (użytkowników wieczystych) nieruchomości „podzielenia się" częścią korzyści, jakie ci uzyskali na skutek wzrostu wartości nieruchomości spowodowanego zdarzeniami określonymi w u</w:t>
      </w:r>
      <w:r w:rsidR="00A32FEC">
        <w:t xml:space="preserve">stawie o gospodarce nieruchomościami </w:t>
      </w:r>
      <w:r>
        <w:t xml:space="preserve"> Stosownie do </w:t>
      </w:r>
      <w:r w:rsidR="00A32FEC">
        <w:t xml:space="preserve">art. 98a. ustawy o gospodarce nieruchomościami </w:t>
      </w:r>
      <w:r w:rsidR="00A32FEC">
        <w:rPr>
          <w:rStyle w:val="alb-s"/>
        </w:rPr>
        <w:t xml:space="preserve"> naliczenie opłaty </w:t>
      </w:r>
      <w:proofErr w:type="spellStart"/>
      <w:r w:rsidR="00A32FEC">
        <w:rPr>
          <w:rStyle w:val="alb-s"/>
        </w:rPr>
        <w:t>adiacenckiej</w:t>
      </w:r>
      <w:proofErr w:type="spellEnd"/>
      <w:r w:rsidR="00A32FEC">
        <w:rPr>
          <w:rStyle w:val="alb-s"/>
        </w:rPr>
        <w:t xml:space="preserve"> może nastąpić na skutek podziału nieruchomości </w:t>
      </w:r>
      <w:r w:rsidR="00A32FEC">
        <w:t xml:space="preserve">jeżeli w wyniku podziału nieruchomości dokonanego na wniosek właściciela lub użytkownika wieczystego, który wniósł opłaty roczne za cały okres użytkowania tego prawa, wzrośnie jej wartość, wójt, burmistrz albo prezydent miasta może ustalić, w drodze decyzji, opłatę </w:t>
      </w:r>
      <w:proofErr w:type="spellStart"/>
      <w:r w:rsidR="00A32FEC">
        <w:t>adiacencką</w:t>
      </w:r>
      <w:proofErr w:type="spellEnd"/>
      <w:r w:rsidR="00A32FEC">
        <w:t xml:space="preserve"> z tego tytułu. Wysokość stawki procentowej opłaty </w:t>
      </w:r>
      <w:proofErr w:type="spellStart"/>
      <w:r w:rsidR="00A32FEC">
        <w:t>adiacenckiej</w:t>
      </w:r>
      <w:proofErr w:type="spellEnd"/>
      <w:r w:rsidR="00A32FEC">
        <w:t xml:space="preserve"> ustala rada gminy, w drodze uchwały, w wysokości nie większej niż 30% </w:t>
      </w:r>
      <w:r w:rsidR="00F0522C">
        <w:t xml:space="preserve">różnicy wartości nieruchomości po dokonaniu podziału nieruchomości. </w:t>
      </w:r>
      <w:r w:rsidR="00A32FEC">
        <w:t xml:space="preserve">W obowiązującej dotychczas uchwale Rady Gminy Ciechanów z 2006 roku nie znajdowały się uregulowania dotyczące stawki procentowej opłaty </w:t>
      </w:r>
      <w:proofErr w:type="spellStart"/>
      <w:r w:rsidR="00A32FEC">
        <w:t>adiacenckiej</w:t>
      </w:r>
      <w:proofErr w:type="spellEnd"/>
      <w:r w:rsidR="00A32FEC">
        <w:t xml:space="preserve"> z tytułu wzrostu wartości nieruchomości na skutek podziału nieruchomości.</w:t>
      </w:r>
    </w:p>
    <w:p w:rsidR="00F0522C" w:rsidRDefault="00F0522C" w:rsidP="00F0522C">
      <w:pPr>
        <w:spacing w:line="360" w:lineRule="auto"/>
        <w:ind w:firstLine="709"/>
      </w:pPr>
      <w:r>
        <w:t xml:space="preserve">Natomiast art. 146 ust. 1-2 ustawy o gospodarce nieruchomościami reguluje ustalenie stawki procentowej opłaty </w:t>
      </w:r>
      <w:proofErr w:type="spellStart"/>
      <w:r>
        <w:t>adiacenckiej</w:t>
      </w:r>
      <w:proofErr w:type="spellEnd"/>
      <w:r>
        <w:t xml:space="preserve"> z tytułu wzrostu wartości nieruchomości  </w:t>
      </w:r>
      <w:r w:rsidR="00D7049A">
        <w:t>spowodowanym budową urządzeń infrastruktury</w:t>
      </w:r>
      <w:r>
        <w:t xml:space="preserve"> przez</w:t>
      </w:r>
      <w:r w:rsidR="00D7049A">
        <w:t xml:space="preserve"> </w:t>
      </w:r>
      <w:proofErr w:type="spellStart"/>
      <w:r w:rsidR="00D7049A">
        <w:t>jednostek</w:t>
      </w:r>
      <w:r>
        <w:t>ę</w:t>
      </w:r>
      <w:proofErr w:type="spellEnd"/>
      <w:r w:rsidR="00D7049A">
        <w:t xml:space="preserve"> samorządu terytorialnego,</w:t>
      </w:r>
      <w:r>
        <w:t xml:space="preserve"> które według ww. ustawy wynosi nie więcej niż 50 % różnicy między wartością, jaką nieruchomość miała przed wybudowaniem urządzeń infrastruktury technicznej, a wartością, jaką nieruchomość ma po jej wybudowaniu. Nadmienić należy , że dotychczas obowiązująca uchwała o opłacie </w:t>
      </w:r>
      <w:proofErr w:type="spellStart"/>
      <w:r>
        <w:t>adiacenckiej</w:t>
      </w:r>
      <w:proofErr w:type="spellEnd"/>
      <w:r>
        <w:t xml:space="preserve"> ustaliła ww. stawkę na poziomie maksymalnym tj. 50%. Proponowany projekt uchwały przewiduje obniżenie stawki do poziomu 30% różnicy między wartością, jaką nieruchomość miała przed wybudowaniem urządzeń infrastruktury technicznej, a wartością, jaką nieruchomość ma po jej wybudowaniu.</w:t>
      </w:r>
    </w:p>
    <w:p w:rsidR="00D7049A" w:rsidRDefault="00D7049A" w:rsidP="00F0522C">
      <w:pPr>
        <w:spacing w:line="360" w:lineRule="auto"/>
        <w:ind w:firstLine="709"/>
      </w:pPr>
      <w:r>
        <w:t xml:space="preserve">Nałożenie obowiązku zapłaty na rzecz gminy opłaty </w:t>
      </w:r>
      <w:proofErr w:type="spellStart"/>
      <w:r>
        <w:t>adiacenckiej</w:t>
      </w:r>
      <w:proofErr w:type="spellEnd"/>
      <w:r>
        <w:t xml:space="preserve"> następuje poprzez wydanie decyzji administracyjnej przez wójta (burmistrza, prezydenta miasta). Decyzji takiej nie można jednak wydać, jeżeli rada gminy nie podejmie uchwały określającej stawkę opłaty. Przywołane w podstawie prawnej projektu uchwały przepisy prawa przyznają radzie gminy wyłączną kompetencję do ustalenia stawek opłaty </w:t>
      </w:r>
      <w:proofErr w:type="spellStart"/>
      <w:r>
        <w:t>adiacenckiej</w:t>
      </w:r>
      <w:proofErr w:type="spellEnd"/>
      <w:r>
        <w:t>. Rada gminy posiada swobodę w ich ustalaniu, ograniczoną jednak maksymalnymi stawkami określonymi w </w:t>
      </w:r>
      <w:r w:rsidR="00A32FEC">
        <w:t>ustawie o gospodarce nieruchomościami.</w:t>
      </w:r>
      <w:r w:rsidR="00F0522C">
        <w:t xml:space="preserve"> </w:t>
      </w:r>
    </w:p>
    <w:sectPr w:rsidR="00D70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B0"/>
    <w:rsid w:val="00264D7E"/>
    <w:rsid w:val="00317FB0"/>
    <w:rsid w:val="006754B4"/>
    <w:rsid w:val="00A32FEC"/>
    <w:rsid w:val="00D7049A"/>
    <w:rsid w:val="00F0522C"/>
    <w:rsid w:val="00F7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73EA4-29FA-46EE-A7BB-A784F46D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17F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17FB0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317FB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17FB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7FB0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17FB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317FB0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17FB0"/>
    <w:rPr>
      <w:color w:val="0000FF"/>
      <w:u w:val="single"/>
    </w:rPr>
  </w:style>
  <w:style w:type="character" w:customStyle="1" w:styleId="alb-s">
    <w:name w:val="a_lb-s"/>
    <w:basedOn w:val="Domylnaczcionkaakapitu"/>
    <w:rsid w:val="00A32FEC"/>
  </w:style>
  <w:style w:type="paragraph" w:styleId="Tekstdymka">
    <w:name w:val="Balloon Text"/>
    <w:basedOn w:val="Normalny"/>
    <w:link w:val="TekstdymkaZnak"/>
    <w:uiPriority w:val="99"/>
    <w:semiHidden/>
    <w:unhideWhenUsed/>
    <w:rsid w:val="00264D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D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45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05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010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25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45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180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79639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02719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89378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5686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KK. Krupińska</dc:creator>
  <cp:keywords/>
  <dc:description/>
  <cp:lastModifiedBy>Małgorzata Sochacka</cp:lastModifiedBy>
  <cp:revision>2</cp:revision>
  <cp:lastPrinted>2022-11-14T09:34:00Z</cp:lastPrinted>
  <dcterms:created xsi:type="dcterms:W3CDTF">2022-11-14T10:11:00Z</dcterms:created>
  <dcterms:modified xsi:type="dcterms:W3CDTF">2022-11-14T10:11:00Z</dcterms:modified>
</cp:coreProperties>
</file>